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096DC" w14:textId="4CC5B875" w:rsidR="00EB5CE6" w:rsidRDefault="00FA5275" w:rsidP="00EB5CE6">
      <w:pPr>
        <w:rPr>
          <w:rFonts w:ascii="Gill Sans Light" w:hAnsi="Gill Sans Light" w:cs="Gill Sans Light"/>
          <w:sz w:val="20"/>
          <w:szCs w:val="20"/>
        </w:rPr>
      </w:pPr>
      <w:r>
        <w:rPr>
          <w:noProof/>
        </w:rPr>
        <mc:AlternateContent>
          <mc:Choice Requires="wps">
            <w:drawing>
              <wp:anchor distT="0" distB="0" distL="114300" distR="114300" simplePos="0" relativeHeight="251660288" behindDoc="0" locked="0" layoutInCell="1" allowOverlap="1" wp14:anchorId="356E4A10" wp14:editId="710BAD20">
                <wp:simplePos x="0" y="0"/>
                <wp:positionH relativeFrom="column">
                  <wp:posOffset>-223520</wp:posOffset>
                </wp:positionH>
                <wp:positionV relativeFrom="paragraph">
                  <wp:posOffset>9525</wp:posOffset>
                </wp:positionV>
                <wp:extent cx="4648200" cy="397891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648200" cy="3978910"/>
                        </a:xfrm>
                        <a:prstGeom prst="rect">
                          <a:avLst/>
                        </a:prstGeom>
                        <a:noFill/>
                        <a:ln w="6350">
                          <a:noFill/>
                        </a:ln>
                      </wps:spPr>
                      <wps:txbx>
                        <w:txbxContent>
                          <w:p w14:paraId="5D8D5FDB" w14:textId="3223AE72" w:rsidR="0074084B" w:rsidRPr="008E2BC7" w:rsidRDefault="00FA5275" w:rsidP="008E7BA1">
                            <w:pPr>
                              <w:pStyle w:val="DoctitleRT"/>
                              <w:rPr>
                                <w:b/>
                                <w:bCs/>
                              </w:rPr>
                            </w:pPr>
                            <w:r>
                              <w:rPr>
                                <w:b/>
                                <w:bCs/>
                              </w:rPr>
                              <w:t xml:space="preserve">tasmanian </w:t>
                            </w:r>
                          </w:p>
                          <w:p w14:paraId="1F189133" w14:textId="2C2F6EDF" w:rsidR="0074084B" w:rsidRDefault="00FA5275" w:rsidP="00073276">
                            <w:pPr>
                              <w:pStyle w:val="DoctitleRT"/>
                            </w:pPr>
                            <w:r>
                              <w:rPr>
                                <w:b/>
                                <w:bCs/>
                              </w:rPr>
                              <w:t xml:space="preserve">future gas strategy </w:t>
                            </w:r>
                            <w:r w:rsidR="0074084B">
                              <w:rPr>
                                <w:b/>
                                <w:bCs/>
                              </w:rPr>
                              <w:t xml:space="preserve"> </w:t>
                            </w:r>
                            <w:r w:rsidR="0074084B">
                              <w:t xml:space="preserve"> </w:t>
                            </w:r>
                          </w:p>
                          <w:p w14:paraId="657F2081" w14:textId="16DAAF8B" w:rsidR="0074084B" w:rsidRPr="00386736" w:rsidRDefault="00FA5275" w:rsidP="00073276">
                            <w:pPr>
                              <w:pStyle w:val="DoctitleRT"/>
                              <w:rPr>
                                <w:sz w:val="20"/>
                                <w:szCs w:val="20"/>
                              </w:rPr>
                            </w:pPr>
                            <w:r>
                              <w:t>discussion</w:t>
                            </w:r>
                            <w:r w:rsidR="0074084B">
                              <w:t xml:space="preserve">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E4A10" id="_x0000_t202" coordsize="21600,21600" o:spt="202" path="m,l,21600r21600,l21600,xe">
                <v:stroke joinstyle="miter"/>
                <v:path gradientshapeok="t" o:connecttype="rect"/>
              </v:shapetype>
              <v:shape id="Text Box 2" o:spid="_x0000_s1026" type="#_x0000_t202" style="position:absolute;margin-left:-17.6pt;margin-top:.75pt;width:366pt;height:31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" filled="f" stroked="f" strokeweight=".5pt">
                <v:textbox>
                  <w:txbxContent>
                    <w:p w14:paraId="5D8D5FDB" w14:textId="3223AE72" w:rsidR="0074084B" w:rsidRPr="008E2BC7" w:rsidRDefault="00FA5275" w:rsidP="008E7BA1">
                      <w:pPr>
                        <w:pStyle w:val="DoctitleRT"/>
                        <w:rPr>
                          <w:b/>
                          <w:bCs/>
                        </w:rPr>
                      </w:pPr>
                      <w:r>
                        <w:rPr>
                          <w:b/>
                          <w:bCs/>
                        </w:rPr>
                        <w:t xml:space="preserve">tasmanian </w:t>
                      </w:r>
                    </w:p>
                    <w:p w14:paraId="1F189133" w14:textId="2C2F6EDF" w:rsidR="0074084B" w:rsidRDefault="00FA5275" w:rsidP="00073276">
                      <w:pPr>
                        <w:pStyle w:val="DoctitleRT"/>
                      </w:pPr>
                      <w:r>
                        <w:rPr>
                          <w:b/>
                          <w:bCs/>
                        </w:rPr>
                        <w:t xml:space="preserve">future gas strategy </w:t>
                      </w:r>
                      <w:r w:rsidR="0074084B">
                        <w:rPr>
                          <w:b/>
                          <w:bCs/>
                        </w:rPr>
                        <w:t xml:space="preserve"> </w:t>
                      </w:r>
                      <w:r w:rsidR="0074084B">
                        <w:t xml:space="preserve"> </w:t>
                      </w:r>
                    </w:p>
                    <w:p w14:paraId="657F2081" w14:textId="16DAAF8B" w:rsidR="0074084B" w:rsidRPr="00386736" w:rsidRDefault="00FA5275" w:rsidP="00073276">
                      <w:pPr>
                        <w:pStyle w:val="DoctitleRT"/>
                        <w:rPr>
                          <w:sz w:val="20"/>
                          <w:szCs w:val="20"/>
                        </w:rPr>
                      </w:pPr>
                      <w:r>
                        <w:t>discussion</w:t>
                      </w:r>
                      <w:r w:rsidR="0074084B">
                        <w:t xml:space="preserve"> PAPER</w:t>
                      </w:r>
                    </w:p>
                  </w:txbxContent>
                </v:textbox>
                <w10:wrap type="square"/>
              </v:shape>
            </w:pict>
          </mc:Fallback>
        </mc:AlternateContent>
      </w:r>
    </w:p>
    <w:p w14:paraId="4D90240D" w14:textId="08769A46" w:rsidR="00EB5CE6" w:rsidRDefault="00EB5CE6" w:rsidP="00EB5CE6">
      <w:pPr>
        <w:rPr>
          <w:rFonts w:ascii="Gill Sans Light" w:hAnsi="Gill Sans Light" w:cs="Gill Sans Light"/>
          <w:sz w:val="20"/>
          <w:szCs w:val="20"/>
        </w:rPr>
      </w:pPr>
    </w:p>
    <w:p w14:paraId="19211E6A" w14:textId="3316D764" w:rsidR="00EB5CE6" w:rsidRDefault="00EB5CE6" w:rsidP="00EB5CE6">
      <w:pPr>
        <w:rPr>
          <w:rFonts w:ascii="Gill Sans Light" w:hAnsi="Gill Sans Light" w:cs="Gill Sans Light"/>
          <w:sz w:val="20"/>
          <w:szCs w:val="20"/>
        </w:rPr>
      </w:pPr>
    </w:p>
    <w:p w14:paraId="10F6CFDC" w14:textId="2448A422" w:rsidR="00EB5CE6" w:rsidRDefault="00EB5CE6" w:rsidP="00EB5CE6">
      <w:pPr>
        <w:rPr>
          <w:rFonts w:ascii="Gill Sans Light" w:hAnsi="Gill Sans Light" w:cs="Gill Sans Light"/>
          <w:sz w:val="20"/>
          <w:szCs w:val="20"/>
        </w:rPr>
      </w:pPr>
    </w:p>
    <w:p w14:paraId="3E965F5C" w14:textId="09C247D3" w:rsidR="00EB5CE6" w:rsidRDefault="00EB5CE6" w:rsidP="00EB5CE6">
      <w:pPr>
        <w:rPr>
          <w:rFonts w:ascii="Gill Sans Light" w:hAnsi="Gill Sans Light" w:cs="Gill Sans Light"/>
          <w:sz w:val="20"/>
          <w:szCs w:val="20"/>
        </w:rPr>
      </w:pPr>
    </w:p>
    <w:p w14:paraId="72BC17E7" w14:textId="2172F220" w:rsidR="00EB5CE6" w:rsidRDefault="00EB5CE6" w:rsidP="00EB5CE6">
      <w:pPr>
        <w:rPr>
          <w:rFonts w:ascii="Gill Sans Light" w:hAnsi="Gill Sans Light" w:cs="Gill Sans Light"/>
          <w:sz w:val="20"/>
          <w:szCs w:val="20"/>
        </w:rPr>
      </w:pPr>
    </w:p>
    <w:p w14:paraId="28302F5F" w14:textId="0659118B" w:rsidR="00EB5CE6" w:rsidRDefault="00EB5CE6" w:rsidP="00EB5CE6">
      <w:pPr>
        <w:rPr>
          <w:rFonts w:ascii="Gill Sans Light" w:hAnsi="Gill Sans Light" w:cs="Gill Sans Light"/>
          <w:sz w:val="20"/>
          <w:szCs w:val="20"/>
        </w:rPr>
      </w:pPr>
    </w:p>
    <w:p w14:paraId="2A8695D3" w14:textId="364C669C" w:rsidR="00EB5CE6" w:rsidRDefault="00EB5CE6" w:rsidP="00EB5CE6">
      <w:pPr>
        <w:rPr>
          <w:rFonts w:ascii="Gill Sans Light" w:hAnsi="Gill Sans Light" w:cs="Gill Sans Light"/>
          <w:sz w:val="20"/>
          <w:szCs w:val="20"/>
        </w:rPr>
      </w:pPr>
    </w:p>
    <w:p w14:paraId="7EEE6680" w14:textId="20288010" w:rsidR="00EB5CE6" w:rsidRDefault="00EB5CE6" w:rsidP="00EB5CE6">
      <w:pPr>
        <w:rPr>
          <w:rFonts w:ascii="Gill Sans Light" w:hAnsi="Gill Sans Light" w:cs="Gill Sans Light"/>
          <w:sz w:val="20"/>
          <w:szCs w:val="20"/>
        </w:rPr>
      </w:pPr>
    </w:p>
    <w:p w14:paraId="03535E1B" w14:textId="45A4F444" w:rsidR="00EB5CE6" w:rsidRDefault="00EB5CE6" w:rsidP="00386736"/>
    <w:p w14:paraId="38DA8241" w14:textId="1E961690" w:rsidR="00EB5CE6" w:rsidRDefault="00EB5CE6" w:rsidP="00EB5CE6">
      <w:pPr>
        <w:rPr>
          <w:rFonts w:ascii="Gill Sans Light" w:hAnsi="Gill Sans Light" w:cs="Gill Sans Light"/>
          <w:sz w:val="20"/>
          <w:szCs w:val="20"/>
        </w:rPr>
      </w:pPr>
    </w:p>
    <w:p w14:paraId="3D7E40E3" w14:textId="4FB6ACF3" w:rsidR="00EB5CE6" w:rsidRDefault="00EB5CE6" w:rsidP="00EB5CE6">
      <w:pPr>
        <w:rPr>
          <w:rFonts w:ascii="Gill Sans Light" w:hAnsi="Gill Sans Light" w:cs="Gill Sans Light"/>
          <w:sz w:val="20"/>
          <w:szCs w:val="20"/>
        </w:rPr>
      </w:pPr>
    </w:p>
    <w:p w14:paraId="2B514095" w14:textId="7D775F0E" w:rsidR="00EB5CE6" w:rsidRDefault="00EB5CE6" w:rsidP="00EB5CE6">
      <w:pPr>
        <w:rPr>
          <w:rFonts w:ascii="Gill Sans Light" w:hAnsi="Gill Sans Light" w:cs="Gill Sans Light"/>
          <w:sz w:val="20"/>
          <w:szCs w:val="20"/>
        </w:rPr>
      </w:pPr>
    </w:p>
    <w:p w14:paraId="6B3D3C98" w14:textId="77777777" w:rsidR="00EB5CE6" w:rsidRDefault="00EB5CE6" w:rsidP="00EB5CE6">
      <w:pPr>
        <w:rPr>
          <w:rFonts w:ascii="Gill Sans Light" w:hAnsi="Gill Sans Light" w:cs="Gill Sans Light"/>
          <w:sz w:val="20"/>
          <w:szCs w:val="20"/>
        </w:rPr>
      </w:pPr>
    </w:p>
    <w:p w14:paraId="7373A310" w14:textId="5AC403DA" w:rsidR="00EB5CE6" w:rsidRDefault="00EB5CE6" w:rsidP="00EB5CE6">
      <w:pPr>
        <w:rPr>
          <w:rFonts w:ascii="Gill Sans Light" w:hAnsi="Gill Sans Light" w:cs="Gill Sans Light"/>
          <w:sz w:val="20"/>
          <w:szCs w:val="20"/>
        </w:rPr>
      </w:pPr>
    </w:p>
    <w:p w14:paraId="5B6CCE4E" w14:textId="4DF3AE29" w:rsidR="00EB5CE6" w:rsidRDefault="00EB5CE6" w:rsidP="00EB5CE6">
      <w:pPr>
        <w:rPr>
          <w:rFonts w:ascii="Gill Sans Light" w:hAnsi="Gill Sans Light" w:cs="Gill Sans Light"/>
          <w:sz w:val="20"/>
          <w:szCs w:val="20"/>
        </w:rPr>
      </w:pPr>
    </w:p>
    <w:p w14:paraId="66E085CD" w14:textId="77777777" w:rsidR="00EB5CE6" w:rsidRDefault="00EB5CE6" w:rsidP="00EB5CE6">
      <w:pPr>
        <w:rPr>
          <w:rFonts w:ascii="Gill Sans Light" w:hAnsi="Gill Sans Light" w:cs="Gill Sans Light"/>
          <w:sz w:val="20"/>
          <w:szCs w:val="20"/>
        </w:rPr>
      </w:pPr>
    </w:p>
    <w:p w14:paraId="37F7E45E" w14:textId="12966E7F" w:rsidR="00EB5CE6" w:rsidRDefault="00EB5CE6" w:rsidP="00EB5CE6">
      <w:pPr>
        <w:rPr>
          <w:rFonts w:ascii="Gill Sans Light" w:hAnsi="Gill Sans Light" w:cs="Gill Sans Light"/>
          <w:sz w:val="20"/>
          <w:szCs w:val="20"/>
        </w:rPr>
      </w:pPr>
    </w:p>
    <w:p w14:paraId="05FE007B" w14:textId="4D85F741" w:rsidR="00EB5CE6" w:rsidRDefault="00EB5CE6" w:rsidP="00EB5CE6">
      <w:pPr>
        <w:rPr>
          <w:rFonts w:ascii="Gill Sans Light" w:hAnsi="Gill Sans Light" w:cs="Gill Sans Light"/>
          <w:sz w:val="20"/>
          <w:szCs w:val="20"/>
        </w:rPr>
      </w:pPr>
    </w:p>
    <w:p w14:paraId="4E9193EE" w14:textId="7CD1868E" w:rsidR="00EB5CE6" w:rsidRDefault="00EB5CE6" w:rsidP="00EB5CE6">
      <w:pPr>
        <w:rPr>
          <w:rFonts w:ascii="Gill Sans Light" w:hAnsi="Gill Sans Light" w:cs="Gill Sans Light"/>
          <w:sz w:val="20"/>
          <w:szCs w:val="20"/>
        </w:rPr>
      </w:pPr>
    </w:p>
    <w:p w14:paraId="04E1C922" w14:textId="0B05FEA0" w:rsidR="00EB5CE6" w:rsidRDefault="00EB5CE6" w:rsidP="00EB5CE6">
      <w:pPr>
        <w:rPr>
          <w:rFonts w:ascii="Gill Sans Light" w:hAnsi="Gill Sans Light" w:cs="Gill Sans Light"/>
          <w:sz w:val="20"/>
          <w:szCs w:val="20"/>
        </w:rPr>
      </w:pPr>
    </w:p>
    <w:p w14:paraId="128DE566" w14:textId="4ABA4B12" w:rsidR="00EB5CE6" w:rsidRDefault="00EB5CE6" w:rsidP="00EB5CE6">
      <w:pPr>
        <w:rPr>
          <w:rFonts w:ascii="Gill Sans Light" w:hAnsi="Gill Sans Light" w:cs="Gill Sans Light"/>
          <w:sz w:val="20"/>
          <w:szCs w:val="20"/>
        </w:rPr>
      </w:pPr>
    </w:p>
    <w:p w14:paraId="49AF11C5" w14:textId="76A8284B" w:rsidR="00EB5CE6" w:rsidRDefault="00EB5CE6" w:rsidP="00EB5CE6">
      <w:pPr>
        <w:rPr>
          <w:rFonts w:ascii="Gill Sans Light" w:hAnsi="Gill Sans Light" w:cs="Gill Sans Light"/>
          <w:sz w:val="20"/>
          <w:szCs w:val="20"/>
        </w:rPr>
      </w:pPr>
    </w:p>
    <w:p w14:paraId="0AF89657" w14:textId="190A7CBC" w:rsidR="00EB5CE6" w:rsidRDefault="00EB5CE6" w:rsidP="00EB5CE6">
      <w:pPr>
        <w:rPr>
          <w:rFonts w:ascii="Gill Sans Light" w:hAnsi="Gill Sans Light" w:cs="Gill Sans Light"/>
          <w:sz w:val="20"/>
          <w:szCs w:val="20"/>
        </w:rPr>
      </w:pPr>
    </w:p>
    <w:p w14:paraId="51807C07" w14:textId="21EDF41B" w:rsidR="00EB5CE6" w:rsidRDefault="00EB5CE6" w:rsidP="00EB5CE6">
      <w:pPr>
        <w:rPr>
          <w:rFonts w:ascii="Gill Sans Light" w:hAnsi="Gill Sans Light" w:cs="Gill Sans Light"/>
          <w:sz w:val="20"/>
          <w:szCs w:val="20"/>
        </w:rPr>
      </w:pPr>
    </w:p>
    <w:p w14:paraId="5CF2E8AF" w14:textId="0A1C097B" w:rsidR="00EB5CE6" w:rsidRDefault="00EB5CE6" w:rsidP="00EB5CE6">
      <w:pPr>
        <w:rPr>
          <w:rFonts w:ascii="Gill Sans Light" w:hAnsi="Gill Sans Light" w:cs="Gill Sans Light"/>
          <w:sz w:val="20"/>
          <w:szCs w:val="20"/>
        </w:rPr>
      </w:pPr>
    </w:p>
    <w:p w14:paraId="31F4CB92" w14:textId="402E2E3E" w:rsidR="00EB5CE6" w:rsidRDefault="00EB5CE6" w:rsidP="00EB5CE6">
      <w:pPr>
        <w:rPr>
          <w:rFonts w:ascii="Gill Sans Light" w:hAnsi="Gill Sans Light" w:cs="Gill Sans Light"/>
          <w:sz w:val="20"/>
          <w:szCs w:val="20"/>
        </w:rPr>
      </w:pPr>
    </w:p>
    <w:p w14:paraId="054F8BDD" w14:textId="77777777" w:rsidR="00EB5CE6" w:rsidRDefault="00EB5CE6" w:rsidP="00EB5CE6">
      <w:pPr>
        <w:rPr>
          <w:rFonts w:ascii="Gill Sans Light" w:hAnsi="Gill Sans Light" w:cs="Gill Sans Light"/>
          <w:sz w:val="20"/>
          <w:szCs w:val="20"/>
        </w:rPr>
      </w:pPr>
    </w:p>
    <w:p w14:paraId="62D3CFE8" w14:textId="77777777" w:rsidR="00EB5CE6" w:rsidRDefault="00EB5CE6" w:rsidP="00EB5CE6">
      <w:pPr>
        <w:rPr>
          <w:rFonts w:ascii="Gill Sans Light" w:hAnsi="Gill Sans Light" w:cs="Gill Sans Light"/>
          <w:sz w:val="20"/>
          <w:szCs w:val="20"/>
        </w:rPr>
      </w:pPr>
    </w:p>
    <w:p w14:paraId="76FAD808" w14:textId="77777777" w:rsidR="00EB5CE6" w:rsidRDefault="00EB5CE6" w:rsidP="00EB5CE6">
      <w:pPr>
        <w:rPr>
          <w:rFonts w:ascii="Gill Sans Light" w:hAnsi="Gill Sans Light" w:cs="Gill Sans Light"/>
          <w:sz w:val="20"/>
          <w:szCs w:val="20"/>
        </w:rPr>
      </w:pPr>
    </w:p>
    <w:p w14:paraId="4FD81BAD" w14:textId="77777777" w:rsidR="00EB5CE6" w:rsidRDefault="00EB5CE6" w:rsidP="00EB5CE6">
      <w:pPr>
        <w:rPr>
          <w:rFonts w:ascii="Gill Sans Light" w:hAnsi="Gill Sans Light" w:cs="Gill Sans Light"/>
          <w:sz w:val="20"/>
          <w:szCs w:val="20"/>
        </w:rPr>
      </w:pPr>
    </w:p>
    <w:p w14:paraId="1C206865" w14:textId="77777777" w:rsidR="00EB5CE6" w:rsidRDefault="00EB5CE6" w:rsidP="00EB5CE6">
      <w:pPr>
        <w:rPr>
          <w:rFonts w:ascii="Gill Sans Light" w:hAnsi="Gill Sans Light" w:cs="Gill Sans Light"/>
          <w:sz w:val="20"/>
          <w:szCs w:val="20"/>
        </w:rPr>
      </w:pPr>
    </w:p>
    <w:p w14:paraId="3310680F" w14:textId="77777777" w:rsidR="00EB5CE6" w:rsidRDefault="00EB5CE6" w:rsidP="00EB5CE6">
      <w:pPr>
        <w:rPr>
          <w:rFonts w:ascii="Gill Sans Light" w:hAnsi="Gill Sans Light" w:cs="Gill Sans Light"/>
          <w:sz w:val="20"/>
          <w:szCs w:val="20"/>
        </w:rPr>
      </w:pPr>
    </w:p>
    <w:p w14:paraId="76646E8C" w14:textId="77777777" w:rsidR="00EB5CE6" w:rsidRDefault="00EB5CE6" w:rsidP="00EB5CE6">
      <w:pPr>
        <w:rPr>
          <w:rFonts w:ascii="Gill Sans Light" w:hAnsi="Gill Sans Light" w:cs="Gill Sans Light"/>
          <w:sz w:val="20"/>
          <w:szCs w:val="20"/>
        </w:rPr>
      </w:pPr>
    </w:p>
    <w:p w14:paraId="2DF621C5" w14:textId="77777777" w:rsidR="00EB5CE6" w:rsidRDefault="00EB5CE6" w:rsidP="00EB5CE6">
      <w:pPr>
        <w:rPr>
          <w:rFonts w:ascii="Gill Sans Light" w:hAnsi="Gill Sans Light" w:cs="Gill Sans Light"/>
          <w:sz w:val="20"/>
          <w:szCs w:val="20"/>
        </w:rPr>
      </w:pPr>
    </w:p>
    <w:p w14:paraId="2DAE052C" w14:textId="77777777" w:rsidR="00EB5CE6" w:rsidRDefault="00EB5CE6" w:rsidP="00EB5CE6">
      <w:pPr>
        <w:rPr>
          <w:rFonts w:ascii="Gill Sans Light" w:hAnsi="Gill Sans Light" w:cs="Gill Sans Light"/>
          <w:sz w:val="20"/>
          <w:szCs w:val="20"/>
        </w:rPr>
      </w:pPr>
    </w:p>
    <w:p w14:paraId="64A35DDA" w14:textId="77777777" w:rsidR="00EB5CE6" w:rsidRDefault="00EB5CE6" w:rsidP="00EB5CE6">
      <w:pPr>
        <w:rPr>
          <w:rFonts w:ascii="Gill Sans Light" w:hAnsi="Gill Sans Light" w:cs="Gill Sans Light"/>
          <w:sz w:val="20"/>
          <w:szCs w:val="20"/>
        </w:rPr>
      </w:pPr>
    </w:p>
    <w:p w14:paraId="4076131B" w14:textId="77777777" w:rsidR="00EB5CE6" w:rsidRDefault="00EB5CE6" w:rsidP="00EB5CE6">
      <w:pPr>
        <w:rPr>
          <w:rFonts w:ascii="Gill Sans Light" w:hAnsi="Gill Sans Light" w:cs="Gill Sans Light"/>
          <w:sz w:val="20"/>
          <w:szCs w:val="20"/>
        </w:rPr>
      </w:pPr>
    </w:p>
    <w:p w14:paraId="651A4F78" w14:textId="77777777" w:rsidR="00EB5CE6" w:rsidRDefault="00EB5CE6" w:rsidP="00EB5CE6">
      <w:pPr>
        <w:rPr>
          <w:rFonts w:ascii="Gill Sans Light" w:hAnsi="Gill Sans Light" w:cs="Gill Sans Light"/>
          <w:sz w:val="20"/>
          <w:szCs w:val="20"/>
        </w:rPr>
      </w:pPr>
    </w:p>
    <w:p w14:paraId="4C92C653" w14:textId="77777777" w:rsidR="00EB5CE6" w:rsidRDefault="00EB5CE6" w:rsidP="00EB5CE6">
      <w:pPr>
        <w:rPr>
          <w:rFonts w:ascii="Gill Sans Light" w:hAnsi="Gill Sans Light" w:cs="Gill Sans Light"/>
          <w:sz w:val="20"/>
          <w:szCs w:val="20"/>
        </w:rPr>
      </w:pPr>
    </w:p>
    <w:p w14:paraId="6BFCA1EA" w14:textId="77777777" w:rsidR="00EB5CE6" w:rsidRDefault="00EB5CE6" w:rsidP="00EB5CE6">
      <w:pPr>
        <w:rPr>
          <w:rFonts w:ascii="Gill Sans Light" w:hAnsi="Gill Sans Light" w:cs="Gill Sans Light"/>
          <w:sz w:val="20"/>
          <w:szCs w:val="20"/>
        </w:rPr>
      </w:pPr>
    </w:p>
    <w:p w14:paraId="0BE81D28" w14:textId="6ECEDB37" w:rsidR="00EB5CE6" w:rsidRDefault="00065457" w:rsidP="00065457">
      <w:pPr>
        <w:tabs>
          <w:tab w:val="left" w:pos="6427"/>
        </w:tabs>
        <w:rPr>
          <w:rFonts w:ascii="Gill Sans Light" w:hAnsi="Gill Sans Light" w:cs="Gill Sans Light"/>
          <w:sz w:val="20"/>
          <w:szCs w:val="20"/>
        </w:rPr>
      </w:pPr>
      <w:r>
        <w:rPr>
          <w:rFonts w:ascii="Gill Sans Light" w:hAnsi="Gill Sans Light" w:cs="Gill Sans Light"/>
          <w:sz w:val="20"/>
          <w:szCs w:val="20"/>
        </w:rPr>
        <w:tab/>
      </w:r>
    </w:p>
    <w:p w14:paraId="657B088D" w14:textId="7ED7E77B" w:rsidR="00EB5CE6" w:rsidRDefault="00793EB3" w:rsidP="00793EB3">
      <w:pPr>
        <w:tabs>
          <w:tab w:val="left" w:pos="6427"/>
        </w:tabs>
        <w:rPr>
          <w:rFonts w:ascii="Gill Sans Light" w:hAnsi="Gill Sans Light" w:cs="Gill Sans Light"/>
          <w:sz w:val="20"/>
          <w:szCs w:val="20"/>
        </w:rPr>
      </w:pPr>
      <w:r>
        <w:rPr>
          <w:rFonts w:ascii="Gill Sans Light" w:hAnsi="Gill Sans Light" w:cs="Gill Sans Light"/>
          <w:sz w:val="20"/>
          <w:szCs w:val="20"/>
        </w:rPr>
        <w:tab/>
      </w:r>
    </w:p>
    <w:p w14:paraId="13F6B7AE" w14:textId="7AF14AAD" w:rsidR="00EB5CE6" w:rsidRDefault="00EB5CE6" w:rsidP="00EB5CE6">
      <w:pPr>
        <w:rPr>
          <w:rFonts w:ascii="Gill Sans Light" w:hAnsi="Gill Sans Light" w:cs="Gill Sans Light"/>
          <w:sz w:val="20"/>
          <w:szCs w:val="20"/>
        </w:rPr>
      </w:pPr>
    </w:p>
    <w:p w14:paraId="15CABF18" w14:textId="77777777" w:rsidR="00065457" w:rsidRDefault="00065457">
      <w:pPr>
        <w:rPr>
          <w:rFonts w:ascii="Gill Sans Light" w:hAnsi="Gill Sans Light" w:cs="Gill Sans Light"/>
          <w:sz w:val="20"/>
          <w:szCs w:val="20"/>
        </w:rPr>
      </w:pPr>
      <w:r>
        <w:rPr>
          <w:rFonts w:ascii="Gill Sans Light" w:hAnsi="Gill Sans Light" w:cs="Gill Sans Light"/>
          <w:sz w:val="20"/>
          <w:szCs w:val="20"/>
        </w:rPr>
        <w:br w:type="page"/>
      </w:r>
    </w:p>
    <w:p w14:paraId="3736F872" w14:textId="77777777" w:rsidR="00EB5CE6" w:rsidRDefault="00EB5CE6" w:rsidP="00EB5CE6">
      <w:pPr>
        <w:rPr>
          <w:rFonts w:ascii="Gill Sans Light" w:hAnsi="Gill Sans Light" w:cs="Gill Sans Light"/>
          <w:sz w:val="20"/>
          <w:szCs w:val="20"/>
        </w:rPr>
      </w:pPr>
    </w:p>
    <w:p w14:paraId="08DB5480" w14:textId="53CABF96" w:rsidR="00386736" w:rsidRDefault="00386736" w:rsidP="00EB5CE6">
      <w:pPr>
        <w:rPr>
          <w:rFonts w:ascii="Gill Sans Light" w:hAnsi="Gill Sans Light" w:cs="Gill Sans Light"/>
          <w:sz w:val="20"/>
          <w:szCs w:val="20"/>
        </w:rPr>
      </w:pPr>
    </w:p>
    <w:p w14:paraId="2424C951" w14:textId="5278A85F" w:rsidR="00656AA0" w:rsidRDefault="00656AA0" w:rsidP="00EB5CE6">
      <w:pPr>
        <w:rPr>
          <w:rFonts w:ascii="Gill Sans Light" w:hAnsi="Gill Sans Light" w:cs="Gill Sans Light"/>
          <w:sz w:val="20"/>
          <w:szCs w:val="20"/>
        </w:rPr>
      </w:pPr>
    </w:p>
    <w:p w14:paraId="25708560" w14:textId="79E0289D" w:rsidR="00656AA0" w:rsidRPr="00656AA0" w:rsidRDefault="00656AA0" w:rsidP="00EB5CE6">
      <w:pPr>
        <w:rPr>
          <w:rFonts w:ascii="Gill Sans Light" w:hAnsi="Gill Sans Light" w:cs="Gill Sans Light"/>
          <w:b/>
          <w:bCs/>
          <w:color w:val="44546A" w:themeColor="text2"/>
          <w:sz w:val="56"/>
          <w:szCs w:val="56"/>
        </w:rPr>
      </w:pPr>
      <w:r>
        <w:rPr>
          <w:noProof/>
        </w:rPr>
        <mc:AlternateContent>
          <mc:Choice Requires="wps">
            <w:drawing>
              <wp:anchor distT="0" distB="0" distL="114300" distR="114300" simplePos="0" relativeHeight="251662336" behindDoc="0" locked="0" layoutInCell="1" allowOverlap="1" wp14:anchorId="5CB2033A" wp14:editId="7C8C300C">
                <wp:simplePos x="0" y="0"/>
                <wp:positionH relativeFrom="margin">
                  <wp:posOffset>-76200</wp:posOffset>
                </wp:positionH>
                <wp:positionV relativeFrom="paragraph">
                  <wp:posOffset>72390</wp:posOffset>
                </wp:positionV>
                <wp:extent cx="4648200" cy="5905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648200" cy="590550"/>
                        </a:xfrm>
                        <a:prstGeom prst="rect">
                          <a:avLst/>
                        </a:prstGeom>
                        <a:noFill/>
                        <a:ln w="6350">
                          <a:noFill/>
                        </a:ln>
                      </wps:spPr>
                      <wps:txbx>
                        <w:txbxContent>
                          <w:p w14:paraId="417B2A65" w14:textId="6361FCE7" w:rsidR="00656AA0" w:rsidRPr="00386736" w:rsidRDefault="00656AA0" w:rsidP="00656AA0">
                            <w:pPr>
                              <w:pStyle w:val="DoctitleRT"/>
                              <w:rPr>
                                <w:sz w:val="20"/>
                                <w:szCs w:val="20"/>
                              </w:rPr>
                            </w:pPr>
                            <w:r>
                              <w:rPr>
                                <w:b/>
                                <w:bCs/>
                              </w:rPr>
                              <w:t>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2033A" id="Text Box 3" o:spid="_x0000_s1027" type="#_x0000_t202" style="position:absolute;margin-left:-6pt;margin-top:5.7pt;width:366pt;height:4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" filled="f" stroked="f" strokeweight=".5pt">
                <v:textbox>
                  <w:txbxContent>
                    <w:p w14:paraId="417B2A65" w14:textId="6361FCE7" w:rsidR="00656AA0" w:rsidRPr="00386736" w:rsidRDefault="00656AA0" w:rsidP="00656AA0">
                      <w:pPr>
                        <w:pStyle w:val="DoctitleRT"/>
                        <w:rPr>
                          <w:sz w:val="20"/>
                          <w:szCs w:val="20"/>
                        </w:rPr>
                      </w:pPr>
                      <w:r>
                        <w:rPr>
                          <w:b/>
                          <w:bCs/>
                        </w:rPr>
                        <w:t>contents</w:t>
                      </w:r>
                    </w:p>
                  </w:txbxContent>
                </v:textbox>
                <w10:wrap type="square" anchorx="margin"/>
              </v:shape>
            </w:pict>
          </mc:Fallback>
        </mc:AlternateContent>
      </w:r>
    </w:p>
    <w:p w14:paraId="2BFB16A7" w14:textId="5AA0D43E" w:rsidR="00656AA0" w:rsidRDefault="00656AA0" w:rsidP="00EB5CE6">
      <w:pPr>
        <w:rPr>
          <w:rFonts w:ascii="Gill Sans Light" w:hAnsi="Gill Sans Light" w:cs="Gill Sans Light"/>
          <w:sz w:val="20"/>
          <w:szCs w:val="20"/>
        </w:rPr>
      </w:pPr>
    </w:p>
    <w:p w14:paraId="10805331" w14:textId="77777777" w:rsidR="00656AA0" w:rsidRDefault="00656AA0">
      <w:pPr>
        <w:pStyle w:val="TOC1"/>
      </w:pPr>
    </w:p>
    <w:p w14:paraId="737EB2D6" w14:textId="3D0BD85B" w:rsidR="00E66F15" w:rsidRDefault="00DC6D96">
      <w:pPr>
        <w:pStyle w:val="TOC1"/>
        <w:rPr>
          <w:rFonts w:eastAsiaTheme="minorEastAsia"/>
          <w:b w:val="0"/>
          <w:noProof/>
          <w:color w:val="auto"/>
          <w:lang w:eastAsia="en-AU"/>
        </w:rPr>
      </w:pPr>
      <w:r>
        <w:fldChar w:fldCharType="begin"/>
      </w:r>
      <w:r>
        <w:instrText xml:space="preserve"> TOC \h \z \t "Heading 1 (RT),1,Headling 2 (RT),2" </w:instrText>
      </w:r>
      <w:r>
        <w:fldChar w:fldCharType="separate"/>
      </w:r>
      <w:hyperlink w:anchor="_Toc86219851" w:history="1">
        <w:r w:rsidR="00E66F15" w:rsidRPr="00DB0C26">
          <w:rPr>
            <w:rStyle w:val="Hyperlink"/>
            <w:noProof/>
          </w:rPr>
          <w:t>Purpose</w:t>
        </w:r>
        <w:r w:rsidR="00E66F15">
          <w:rPr>
            <w:noProof/>
            <w:webHidden/>
          </w:rPr>
          <w:tab/>
        </w:r>
        <w:r w:rsidR="00E66F15">
          <w:rPr>
            <w:noProof/>
            <w:webHidden/>
          </w:rPr>
          <w:fldChar w:fldCharType="begin"/>
        </w:r>
        <w:r w:rsidR="00E66F15">
          <w:rPr>
            <w:noProof/>
            <w:webHidden/>
          </w:rPr>
          <w:instrText xml:space="preserve"> PAGEREF _Toc86219851 \h </w:instrText>
        </w:r>
        <w:r w:rsidR="00E66F15">
          <w:rPr>
            <w:noProof/>
            <w:webHidden/>
          </w:rPr>
        </w:r>
        <w:r w:rsidR="00E66F15">
          <w:rPr>
            <w:noProof/>
            <w:webHidden/>
          </w:rPr>
          <w:fldChar w:fldCharType="separate"/>
        </w:r>
        <w:r w:rsidR="00E66F15">
          <w:rPr>
            <w:noProof/>
            <w:webHidden/>
          </w:rPr>
          <w:t>3</w:t>
        </w:r>
        <w:r w:rsidR="00E66F15">
          <w:rPr>
            <w:noProof/>
            <w:webHidden/>
          </w:rPr>
          <w:fldChar w:fldCharType="end"/>
        </w:r>
      </w:hyperlink>
    </w:p>
    <w:p w14:paraId="5E9FA4A4" w14:textId="0D0AF915" w:rsidR="00E66F15" w:rsidRDefault="00A60773">
      <w:pPr>
        <w:pStyle w:val="TOC1"/>
        <w:rPr>
          <w:rFonts w:eastAsiaTheme="minorEastAsia"/>
          <w:b w:val="0"/>
          <w:noProof/>
          <w:color w:val="auto"/>
          <w:lang w:eastAsia="en-AU"/>
        </w:rPr>
      </w:pPr>
      <w:hyperlink w:anchor="_Toc86219852" w:history="1">
        <w:r w:rsidR="00E66F15" w:rsidRPr="00DB0C26">
          <w:rPr>
            <w:rStyle w:val="Hyperlink"/>
            <w:noProof/>
          </w:rPr>
          <w:t>Introduction</w:t>
        </w:r>
        <w:r w:rsidR="00E66F15">
          <w:rPr>
            <w:noProof/>
            <w:webHidden/>
          </w:rPr>
          <w:tab/>
        </w:r>
        <w:r w:rsidR="00E66F15">
          <w:rPr>
            <w:noProof/>
            <w:webHidden/>
          </w:rPr>
          <w:fldChar w:fldCharType="begin"/>
        </w:r>
        <w:r w:rsidR="00E66F15">
          <w:rPr>
            <w:noProof/>
            <w:webHidden/>
          </w:rPr>
          <w:instrText xml:space="preserve"> PAGEREF _Toc86219852 \h </w:instrText>
        </w:r>
        <w:r w:rsidR="00E66F15">
          <w:rPr>
            <w:noProof/>
            <w:webHidden/>
          </w:rPr>
        </w:r>
        <w:r w:rsidR="00E66F15">
          <w:rPr>
            <w:noProof/>
            <w:webHidden/>
          </w:rPr>
          <w:fldChar w:fldCharType="separate"/>
        </w:r>
        <w:r w:rsidR="00E66F15">
          <w:rPr>
            <w:noProof/>
            <w:webHidden/>
          </w:rPr>
          <w:t>3</w:t>
        </w:r>
        <w:r w:rsidR="00E66F15">
          <w:rPr>
            <w:noProof/>
            <w:webHidden/>
          </w:rPr>
          <w:fldChar w:fldCharType="end"/>
        </w:r>
      </w:hyperlink>
    </w:p>
    <w:p w14:paraId="2D7C0CCF" w14:textId="528F0617" w:rsidR="00E66F15" w:rsidRDefault="00A60773">
      <w:pPr>
        <w:pStyle w:val="TOC1"/>
        <w:rPr>
          <w:rFonts w:eastAsiaTheme="minorEastAsia"/>
          <w:b w:val="0"/>
          <w:noProof/>
          <w:color w:val="auto"/>
          <w:lang w:eastAsia="en-AU"/>
        </w:rPr>
      </w:pPr>
      <w:hyperlink w:anchor="_Toc86219853" w:history="1">
        <w:r w:rsidR="00E66F15" w:rsidRPr="00DB0C26">
          <w:rPr>
            <w:rStyle w:val="Hyperlink"/>
            <w:noProof/>
          </w:rPr>
          <w:t>Tasmanian Government Policy Settings</w:t>
        </w:r>
        <w:r w:rsidR="00E66F15">
          <w:rPr>
            <w:noProof/>
            <w:webHidden/>
          </w:rPr>
          <w:tab/>
        </w:r>
        <w:r w:rsidR="00E66F15">
          <w:rPr>
            <w:noProof/>
            <w:webHidden/>
          </w:rPr>
          <w:fldChar w:fldCharType="begin"/>
        </w:r>
        <w:r w:rsidR="00E66F15">
          <w:rPr>
            <w:noProof/>
            <w:webHidden/>
          </w:rPr>
          <w:instrText xml:space="preserve"> PAGEREF _Toc86219853 \h </w:instrText>
        </w:r>
        <w:r w:rsidR="00E66F15">
          <w:rPr>
            <w:noProof/>
            <w:webHidden/>
          </w:rPr>
        </w:r>
        <w:r w:rsidR="00E66F15">
          <w:rPr>
            <w:noProof/>
            <w:webHidden/>
          </w:rPr>
          <w:fldChar w:fldCharType="separate"/>
        </w:r>
        <w:r w:rsidR="00E66F15">
          <w:rPr>
            <w:noProof/>
            <w:webHidden/>
          </w:rPr>
          <w:t>5</w:t>
        </w:r>
        <w:r w:rsidR="00E66F15">
          <w:rPr>
            <w:noProof/>
            <w:webHidden/>
          </w:rPr>
          <w:fldChar w:fldCharType="end"/>
        </w:r>
      </w:hyperlink>
    </w:p>
    <w:p w14:paraId="0B0423E4" w14:textId="205366CF" w:rsidR="00E66F15" w:rsidRDefault="00A60773">
      <w:pPr>
        <w:pStyle w:val="TOC2"/>
        <w:rPr>
          <w:rFonts w:eastAsiaTheme="minorEastAsia"/>
          <w:noProof/>
          <w:color w:val="auto"/>
          <w:lang w:eastAsia="en-AU"/>
        </w:rPr>
      </w:pPr>
      <w:hyperlink w:anchor="_Toc86219854" w:history="1">
        <w:r w:rsidR="00E66F15" w:rsidRPr="00DB0C26">
          <w:rPr>
            <w:rStyle w:val="Hyperlink"/>
            <w:noProof/>
          </w:rPr>
          <w:t>The Tasmanian Renewable Energy Target</w:t>
        </w:r>
        <w:r w:rsidR="00E66F15">
          <w:rPr>
            <w:noProof/>
            <w:webHidden/>
          </w:rPr>
          <w:tab/>
        </w:r>
        <w:r w:rsidR="00E66F15">
          <w:rPr>
            <w:noProof/>
            <w:webHidden/>
          </w:rPr>
          <w:fldChar w:fldCharType="begin"/>
        </w:r>
        <w:r w:rsidR="00E66F15">
          <w:rPr>
            <w:noProof/>
            <w:webHidden/>
          </w:rPr>
          <w:instrText xml:space="preserve"> PAGEREF _Toc86219854 \h </w:instrText>
        </w:r>
        <w:r w:rsidR="00E66F15">
          <w:rPr>
            <w:noProof/>
            <w:webHidden/>
          </w:rPr>
        </w:r>
        <w:r w:rsidR="00E66F15">
          <w:rPr>
            <w:noProof/>
            <w:webHidden/>
          </w:rPr>
          <w:fldChar w:fldCharType="separate"/>
        </w:r>
        <w:r w:rsidR="00E66F15">
          <w:rPr>
            <w:noProof/>
            <w:webHidden/>
          </w:rPr>
          <w:t>5</w:t>
        </w:r>
        <w:r w:rsidR="00E66F15">
          <w:rPr>
            <w:noProof/>
            <w:webHidden/>
          </w:rPr>
          <w:fldChar w:fldCharType="end"/>
        </w:r>
      </w:hyperlink>
    </w:p>
    <w:p w14:paraId="38E18844" w14:textId="4F7E4B09" w:rsidR="00E66F15" w:rsidRDefault="00A60773">
      <w:pPr>
        <w:pStyle w:val="TOC2"/>
        <w:rPr>
          <w:rFonts w:eastAsiaTheme="minorEastAsia"/>
          <w:noProof/>
          <w:color w:val="auto"/>
          <w:lang w:eastAsia="en-AU"/>
        </w:rPr>
      </w:pPr>
      <w:hyperlink w:anchor="_Toc86219855" w:history="1">
        <w:r w:rsidR="00E66F15" w:rsidRPr="00DB0C26">
          <w:rPr>
            <w:rStyle w:val="Hyperlink"/>
            <w:noProof/>
          </w:rPr>
          <w:t>The Tasmanian Renewable Energy Action Plan</w:t>
        </w:r>
        <w:r w:rsidR="00E66F15">
          <w:rPr>
            <w:noProof/>
            <w:webHidden/>
          </w:rPr>
          <w:tab/>
        </w:r>
        <w:r w:rsidR="00E66F15">
          <w:rPr>
            <w:noProof/>
            <w:webHidden/>
          </w:rPr>
          <w:fldChar w:fldCharType="begin"/>
        </w:r>
        <w:r w:rsidR="00E66F15">
          <w:rPr>
            <w:noProof/>
            <w:webHidden/>
          </w:rPr>
          <w:instrText xml:space="preserve"> PAGEREF _Toc86219855 \h </w:instrText>
        </w:r>
        <w:r w:rsidR="00E66F15">
          <w:rPr>
            <w:noProof/>
            <w:webHidden/>
          </w:rPr>
        </w:r>
        <w:r w:rsidR="00E66F15">
          <w:rPr>
            <w:noProof/>
            <w:webHidden/>
          </w:rPr>
          <w:fldChar w:fldCharType="separate"/>
        </w:r>
        <w:r w:rsidR="00E66F15">
          <w:rPr>
            <w:noProof/>
            <w:webHidden/>
          </w:rPr>
          <w:t>5</w:t>
        </w:r>
        <w:r w:rsidR="00E66F15">
          <w:rPr>
            <w:noProof/>
            <w:webHidden/>
          </w:rPr>
          <w:fldChar w:fldCharType="end"/>
        </w:r>
      </w:hyperlink>
    </w:p>
    <w:p w14:paraId="3F357983" w14:textId="7FB40158" w:rsidR="00E66F15" w:rsidRDefault="00A60773">
      <w:pPr>
        <w:pStyle w:val="TOC2"/>
        <w:rPr>
          <w:rFonts w:eastAsiaTheme="minorEastAsia"/>
          <w:noProof/>
          <w:color w:val="auto"/>
          <w:lang w:eastAsia="en-AU"/>
        </w:rPr>
      </w:pPr>
      <w:hyperlink w:anchor="_Toc86219856" w:history="1">
        <w:r w:rsidR="00E66F15" w:rsidRPr="00DB0C26">
          <w:rPr>
            <w:rStyle w:val="Hyperlink"/>
            <w:noProof/>
          </w:rPr>
          <w:t>The Tasmanian Renewable Hydrogen Action Plan</w:t>
        </w:r>
        <w:r w:rsidR="00E66F15">
          <w:rPr>
            <w:noProof/>
            <w:webHidden/>
          </w:rPr>
          <w:tab/>
        </w:r>
        <w:r w:rsidR="00E66F15">
          <w:rPr>
            <w:noProof/>
            <w:webHidden/>
          </w:rPr>
          <w:fldChar w:fldCharType="begin"/>
        </w:r>
        <w:r w:rsidR="00E66F15">
          <w:rPr>
            <w:noProof/>
            <w:webHidden/>
          </w:rPr>
          <w:instrText xml:space="preserve"> PAGEREF _Toc86219856 \h </w:instrText>
        </w:r>
        <w:r w:rsidR="00E66F15">
          <w:rPr>
            <w:noProof/>
            <w:webHidden/>
          </w:rPr>
        </w:r>
        <w:r w:rsidR="00E66F15">
          <w:rPr>
            <w:noProof/>
            <w:webHidden/>
          </w:rPr>
          <w:fldChar w:fldCharType="separate"/>
        </w:r>
        <w:r w:rsidR="00E66F15">
          <w:rPr>
            <w:noProof/>
            <w:webHidden/>
          </w:rPr>
          <w:t>5</w:t>
        </w:r>
        <w:r w:rsidR="00E66F15">
          <w:rPr>
            <w:noProof/>
            <w:webHidden/>
          </w:rPr>
          <w:fldChar w:fldCharType="end"/>
        </w:r>
      </w:hyperlink>
    </w:p>
    <w:p w14:paraId="01836425" w14:textId="774B8E99" w:rsidR="00E66F15" w:rsidRDefault="00A60773">
      <w:pPr>
        <w:pStyle w:val="TOC2"/>
        <w:rPr>
          <w:rFonts w:eastAsiaTheme="minorEastAsia"/>
          <w:noProof/>
          <w:color w:val="auto"/>
          <w:lang w:eastAsia="en-AU"/>
        </w:rPr>
      </w:pPr>
      <w:hyperlink w:anchor="_Toc86219857" w:history="1">
        <w:r w:rsidR="00E66F15" w:rsidRPr="00DB0C26">
          <w:rPr>
            <w:rStyle w:val="Hyperlink"/>
            <w:noProof/>
          </w:rPr>
          <w:t>Bioenergy Vision for Tasmania</w:t>
        </w:r>
        <w:r w:rsidR="00E66F15">
          <w:rPr>
            <w:noProof/>
            <w:webHidden/>
          </w:rPr>
          <w:tab/>
        </w:r>
        <w:r w:rsidR="00E66F15">
          <w:rPr>
            <w:noProof/>
            <w:webHidden/>
          </w:rPr>
          <w:fldChar w:fldCharType="begin"/>
        </w:r>
        <w:r w:rsidR="00E66F15">
          <w:rPr>
            <w:noProof/>
            <w:webHidden/>
          </w:rPr>
          <w:instrText xml:space="preserve"> PAGEREF _Toc86219857 \h </w:instrText>
        </w:r>
        <w:r w:rsidR="00E66F15">
          <w:rPr>
            <w:noProof/>
            <w:webHidden/>
          </w:rPr>
        </w:r>
        <w:r w:rsidR="00E66F15">
          <w:rPr>
            <w:noProof/>
            <w:webHidden/>
          </w:rPr>
          <w:fldChar w:fldCharType="separate"/>
        </w:r>
        <w:r w:rsidR="00E66F15">
          <w:rPr>
            <w:noProof/>
            <w:webHidden/>
          </w:rPr>
          <w:t>6</w:t>
        </w:r>
        <w:r w:rsidR="00E66F15">
          <w:rPr>
            <w:noProof/>
            <w:webHidden/>
          </w:rPr>
          <w:fldChar w:fldCharType="end"/>
        </w:r>
      </w:hyperlink>
    </w:p>
    <w:p w14:paraId="28A592D8" w14:textId="70B22C70" w:rsidR="00E66F15" w:rsidRDefault="00A60773">
      <w:pPr>
        <w:pStyle w:val="TOC2"/>
        <w:rPr>
          <w:rFonts w:eastAsiaTheme="minorEastAsia"/>
          <w:noProof/>
          <w:color w:val="auto"/>
          <w:lang w:eastAsia="en-AU"/>
        </w:rPr>
      </w:pPr>
      <w:hyperlink w:anchor="_Toc86219858" w:history="1">
        <w:r w:rsidR="00E66F15" w:rsidRPr="00DB0C26">
          <w:rPr>
            <w:rStyle w:val="Hyperlink"/>
            <w:noProof/>
          </w:rPr>
          <w:t>The Climate Change Action Plan and Tasmania’s commitment to net zero emissions</w:t>
        </w:r>
        <w:r w:rsidR="00E66F15">
          <w:rPr>
            <w:noProof/>
            <w:webHidden/>
          </w:rPr>
          <w:tab/>
        </w:r>
        <w:r w:rsidR="00E66F15">
          <w:rPr>
            <w:noProof/>
            <w:webHidden/>
          </w:rPr>
          <w:fldChar w:fldCharType="begin"/>
        </w:r>
        <w:r w:rsidR="00E66F15">
          <w:rPr>
            <w:noProof/>
            <w:webHidden/>
          </w:rPr>
          <w:instrText xml:space="preserve"> PAGEREF _Toc86219858 \h </w:instrText>
        </w:r>
        <w:r w:rsidR="00E66F15">
          <w:rPr>
            <w:noProof/>
            <w:webHidden/>
          </w:rPr>
        </w:r>
        <w:r w:rsidR="00E66F15">
          <w:rPr>
            <w:noProof/>
            <w:webHidden/>
          </w:rPr>
          <w:fldChar w:fldCharType="separate"/>
        </w:r>
        <w:r w:rsidR="00E66F15">
          <w:rPr>
            <w:noProof/>
            <w:webHidden/>
          </w:rPr>
          <w:t>6</w:t>
        </w:r>
        <w:r w:rsidR="00E66F15">
          <w:rPr>
            <w:noProof/>
            <w:webHidden/>
          </w:rPr>
          <w:fldChar w:fldCharType="end"/>
        </w:r>
      </w:hyperlink>
    </w:p>
    <w:p w14:paraId="72FF332C" w14:textId="74E2F39D" w:rsidR="00E66F15" w:rsidRDefault="00A60773">
      <w:pPr>
        <w:pStyle w:val="TOC2"/>
        <w:rPr>
          <w:rFonts w:eastAsiaTheme="minorEastAsia"/>
          <w:noProof/>
          <w:color w:val="auto"/>
          <w:lang w:eastAsia="en-AU"/>
        </w:rPr>
      </w:pPr>
      <w:hyperlink w:anchor="_Toc86219859" w:history="1">
        <w:r w:rsidR="00E66F15" w:rsidRPr="00DB0C26">
          <w:rPr>
            <w:rStyle w:val="Hyperlink"/>
            <w:noProof/>
          </w:rPr>
          <w:t>Tasmania’s Renewable Energy Coordination Framework</w:t>
        </w:r>
        <w:r w:rsidR="00E66F15">
          <w:rPr>
            <w:noProof/>
            <w:webHidden/>
          </w:rPr>
          <w:tab/>
        </w:r>
        <w:r w:rsidR="00E66F15">
          <w:rPr>
            <w:noProof/>
            <w:webHidden/>
          </w:rPr>
          <w:fldChar w:fldCharType="begin"/>
        </w:r>
        <w:r w:rsidR="00E66F15">
          <w:rPr>
            <w:noProof/>
            <w:webHidden/>
          </w:rPr>
          <w:instrText xml:space="preserve"> PAGEREF _Toc86219859 \h </w:instrText>
        </w:r>
        <w:r w:rsidR="00E66F15">
          <w:rPr>
            <w:noProof/>
            <w:webHidden/>
          </w:rPr>
        </w:r>
        <w:r w:rsidR="00E66F15">
          <w:rPr>
            <w:noProof/>
            <w:webHidden/>
          </w:rPr>
          <w:fldChar w:fldCharType="separate"/>
        </w:r>
        <w:r w:rsidR="00E66F15">
          <w:rPr>
            <w:noProof/>
            <w:webHidden/>
          </w:rPr>
          <w:t>6</w:t>
        </w:r>
        <w:r w:rsidR="00E66F15">
          <w:rPr>
            <w:noProof/>
            <w:webHidden/>
          </w:rPr>
          <w:fldChar w:fldCharType="end"/>
        </w:r>
      </w:hyperlink>
    </w:p>
    <w:p w14:paraId="435B07FF" w14:textId="4906CD45" w:rsidR="00E66F15" w:rsidRDefault="00A60773">
      <w:pPr>
        <w:pStyle w:val="TOC1"/>
        <w:rPr>
          <w:rFonts w:eastAsiaTheme="minorEastAsia"/>
          <w:b w:val="0"/>
          <w:noProof/>
          <w:color w:val="auto"/>
          <w:lang w:eastAsia="en-AU"/>
        </w:rPr>
      </w:pPr>
      <w:hyperlink w:anchor="_Toc86219860" w:history="1">
        <w:r w:rsidR="00E66F15" w:rsidRPr="00DB0C26">
          <w:rPr>
            <w:rStyle w:val="Hyperlink"/>
            <w:noProof/>
          </w:rPr>
          <w:t>Gas in Tasmania</w:t>
        </w:r>
        <w:r w:rsidR="00E66F15">
          <w:rPr>
            <w:noProof/>
            <w:webHidden/>
          </w:rPr>
          <w:tab/>
        </w:r>
        <w:r w:rsidR="00E66F15">
          <w:rPr>
            <w:noProof/>
            <w:webHidden/>
          </w:rPr>
          <w:fldChar w:fldCharType="begin"/>
        </w:r>
        <w:r w:rsidR="00E66F15">
          <w:rPr>
            <w:noProof/>
            <w:webHidden/>
          </w:rPr>
          <w:instrText xml:space="preserve"> PAGEREF _Toc86219860 \h </w:instrText>
        </w:r>
        <w:r w:rsidR="00E66F15">
          <w:rPr>
            <w:noProof/>
            <w:webHidden/>
          </w:rPr>
        </w:r>
        <w:r w:rsidR="00E66F15">
          <w:rPr>
            <w:noProof/>
            <w:webHidden/>
          </w:rPr>
          <w:fldChar w:fldCharType="separate"/>
        </w:r>
        <w:r w:rsidR="00E66F15">
          <w:rPr>
            <w:noProof/>
            <w:webHidden/>
          </w:rPr>
          <w:t>7</w:t>
        </w:r>
        <w:r w:rsidR="00E66F15">
          <w:rPr>
            <w:noProof/>
            <w:webHidden/>
          </w:rPr>
          <w:fldChar w:fldCharType="end"/>
        </w:r>
      </w:hyperlink>
    </w:p>
    <w:p w14:paraId="164E9E2D" w14:textId="1E50D6C1" w:rsidR="00E66F15" w:rsidRDefault="00A60773">
      <w:pPr>
        <w:pStyle w:val="TOC2"/>
        <w:rPr>
          <w:rFonts w:eastAsiaTheme="minorEastAsia"/>
          <w:noProof/>
          <w:color w:val="auto"/>
          <w:lang w:eastAsia="en-AU"/>
        </w:rPr>
      </w:pPr>
      <w:hyperlink w:anchor="_Toc86219861" w:history="1">
        <w:r w:rsidR="00E66F15" w:rsidRPr="00DB0C26">
          <w:rPr>
            <w:rStyle w:val="Hyperlink"/>
            <w:noProof/>
          </w:rPr>
          <w:t>The Tasmanian Natural Gas Network</w:t>
        </w:r>
        <w:r w:rsidR="00E66F15">
          <w:rPr>
            <w:noProof/>
            <w:webHidden/>
          </w:rPr>
          <w:tab/>
        </w:r>
        <w:r w:rsidR="00E66F15">
          <w:rPr>
            <w:noProof/>
            <w:webHidden/>
          </w:rPr>
          <w:fldChar w:fldCharType="begin"/>
        </w:r>
        <w:r w:rsidR="00E66F15">
          <w:rPr>
            <w:noProof/>
            <w:webHidden/>
          </w:rPr>
          <w:instrText xml:space="preserve"> PAGEREF _Toc86219861 \h </w:instrText>
        </w:r>
        <w:r w:rsidR="00E66F15">
          <w:rPr>
            <w:noProof/>
            <w:webHidden/>
          </w:rPr>
        </w:r>
        <w:r w:rsidR="00E66F15">
          <w:rPr>
            <w:noProof/>
            <w:webHidden/>
          </w:rPr>
          <w:fldChar w:fldCharType="separate"/>
        </w:r>
        <w:r w:rsidR="00E66F15">
          <w:rPr>
            <w:noProof/>
            <w:webHidden/>
          </w:rPr>
          <w:t>7</w:t>
        </w:r>
        <w:r w:rsidR="00E66F15">
          <w:rPr>
            <w:noProof/>
            <w:webHidden/>
          </w:rPr>
          <w:fldChar w:fldCharType="end"/>
        </w:r>
      </w:hyperlink>
    </w:p>
    <w:p w14:paraId="6116E456" w14:textId="7F2953A7" w:rsidR="00E66F15" w:rsidRDefault="00A60773">
      <w:pPr>
        <w:pStyle w:val="TOC2"/>
        <w:rPr>
          <w:rFonts w:eastAsiaTheme="minorEastAsia"/>
          <w:noProof/>
          <w:color w:val="auto"/>
          <w:lang w:eastAsia="en-AU"/>
        </w:rPr>
      </w:pPr>
      <w:hyperlink w:anchor="_Toc86219862" w:history="1">
        <w:r w:rsidR="00E66F15" w:rsidRPr="00DB0C26">
          <w:rPr>
            <w:rStyle w:val="Hyperlink"/>
            <w:noProof/>
          </w:rPr>
          <w:t>Bottled gas in Tasmania</w:t>
        </w:r>
        <w:r w:rsidR="00E66F15">
          <w:rPr>
            <w:noProof/>
            <w:webHidden/>
          </w:rPr>
          <w:tab/>
        </w:r>
        <w:r w:rsidR="00E66F15">
          <w:rPr>
            <w:noProof/>
            <w:webHidden/>
          </w:rPr>
          <w:fldChar w:fldCharType="begin"/>
        </w:r>
        <w:r w:rsidR="00E66F15">
          <w:rPr>
            <w:noProof/>
            <w:webHidden/>
          </w:rPr>
          <w:instrText xml:space="preserve"> PAGEREF _Toc86219862 \h </w:instrText>
        </w:r>
        <w:r w:rsidR="00E66F15">
          <w:rPr>
            <w:noProof/>
            <w:webHidden/>
          </w:rPr>
        </w:r>
        <w:r w:rsidR="00E66F15">
          <w:rPr>
            <w:noProof/>
            <w:webHidden/>
          </w:rPr>
          <w:fldChar w:fldCharType="separate"/>
        </w:r>
        <w:r w:rsidR="00E66F15">
          <w:rPr>
            <w:noProof/>
            <w:webHidden/>
          </w:rPr>
          <w:t>7</w:t>
        </w:r>
        <w:r w:rsidR="00E66F15">
          <w:rPr>
            <w:noProof/>
            <w:webHidden/>
          </w:rPr>
          <w:fldChar w:fldCharType="end"/>
        </w:r>
      </w:hyperlink>
    </w:p>
    <w:p w14:paraId="464295BA" w14:textId="12894D9A" w:rsidR="00E66F15" w:rsidRDefault="00A60773">
      <w:pPr>
        <w:pStyle w:val="TOC2"/>
        <w:rPr>
          <w:rFonts w:eastAsiaTheme="minorEastAsia"/>
          <w:noProof/>
          <w:color w:val="auto"/>
          <w:lang w:eastAsia="en-AU"/>
        </w:rPr>
      </w:pPr>
      <w:hyperlink w:anchor="_Toc86219863" w:history="1">
        <w:r w:rsidR="00E66F15" w:rsidRPr="00DB0C26">
          <w:rPr>
            <w:rStyle w:val="Hyperlink"/>
            <w:noProof/>
          </w:rPr>
          <w:t>Who uses gas and for what?</w:t>
        </w:r>
        <w:r w:rsidR="00E66F15">
          <w:rPr>
            <w:noProof/>
            <w:webHidden/>
          </w:rPr>
          <w:tab/>
        </w:r>
        <w:r w:rsidR="00E66F15">
          <w:rPr>
            <w:noProof/>
            <w:webHidden/>
          </w:rPr>
          <w:fldChar w:fldCharType="begin"/>
        </w:r>
        <w:r w:rsidR="00E66F15">
          <w:rPr>
            <w:noProof/>
            <w:webHidden/>
          </w:rPr>
          <w:instrText xml:space="preserve"> PAGEREF _Toc86219863 \h </w:instrText>
        </w:r>
        <w:r w:rsidR="00E66F15">
          <w:rPr>
            <w:noProof/>
            <w:webHidden/>
          </w:rPr>
        </w:r>
        <w:r w:rsidR="00E66F15">
          <w:rPr>
            <w:noProof/>
            <w:webHidden/>
          </w:rPr>
          <w:fldChar w:fldCharType="separate"/>
        </w:r>
        <w:r w:rsidR="00E66F15">
          <w:rPr>
            <w:noProof/>
            <w:webHidden/>
          </w:rPr>
          <w:t>8</w:t>
        </w:r>
        <w:r w:rsidR="00E66F15">
          <w:rPr>
            <w:noProof/>
            <w:webHidden/>
          </w:rPr>
          <w:fldChar w:fldCharType="end"/>
        </w:r>
      </w:hyperlink>
    </w:p>
    <w:p w14:paraId="0376DC49" w14:textId="7FB4D675" w:rsidR="00E66F15" w:rsidRDefault="00A60773">
      <w:pPr>
        <w:pStyle w:val="TOC2"/>
        <w:rPr>
          <w:rFonts w:eastAsiaTheme="minorEastAsia"/>
          <w:noProof/>
          <w:color w:val="auto"/>
          <w:lang w:eastAsia="en-AU"/>
        </w:rPr>
      </w:pPr>
      <w:hyperlink w:anchor="_Toc86219864" w:history="1">
        <w:r w:rsidR="00E66F15" w:rsidRPr="00DB0C26">
          <w:rPr>
            <w:rStyle w:val="Hyperlink"/>
            <w:noProof/>
          </w:rPr>
          <w:t>Households</w:t>
        </w:r>
        <w:r w:rsidR="00E66F15">
          <w:rPr>
            <w:noProof/>
            <w:webHidden/>
          </w:rPr>
          <w:tab/>
        </w:r>
        <w:r w:rsidR="00E66F15">
          <w:rPr>
            <w:noProof/>
            <w:webHidden/>
          </w:rPr>
          <w:fldChar w:fldCharType="begin"/>
        </w:r>
        <w:r w:rsidR="00E66F15">
          <w:rPr>
            <w:noProof/>
            <w:webHidden/>
          </w:rPr>
          <w:instrText xml:space="preserve"> PAGEREF _Toc86219864 \h </w:instrText>
        </w:r>
        <w:r w:rsidR="00E66F15">
          <w:rPr>
            <w:noProof/>
            <w:webHidden/>
          </w:rPr>
        </w:r>
        <w:r w:rsidR="00E66F15">
          <w:rPr>
            <w:noProof/>
            <w:webHidden/>
          </w:rPr>
          <w:fldChar w:fldCharType="separate"/>
        </w:r>
        <w:r w:rsidR="00E66F15">
          <w:rPr>
            <w:noProof/>
            <w:webHidden/>
          </w:rPr>
          <w:t>9</w:t>
        </w:r>
        <w:r w:rsidR="00E66F15">
          <w:rPr>
            <w:noProof/>
            <w:webHidden/>
          </w:rPr>
          <w:fldChar w:fldCharType="end"/>
        </w:r>
      </w:hyperlink>
    </w:p>
    <w:p w14:paraId="01ED9C96" w14:textId="4D97F530" w:rsidR="00E66F15" w:rsidRDefault="00A60773">
      <w:pPr>
        <w:pStyle w:val="TOC2"/>
        <w:rPr>
          <w:rFonts w:eastAsiaTheme="minorEastAsia"/>
          <w:noProof/>
          <w:color w:val="auto"/>
          <w:lang w:eastAsia="en-AU"/>
        </w:rPr>
      </w:pPr>
      <w:hyperlink w:anchor="_Toc86219865" w:history="1">
        <w:r w:rsidR="00E66F15" w:rsidRPr="00DB0C26">
          <w:rPr>
            <w:rStyle w:val="Hyperlink"/>
            <w:noProof/>
          </w:rPr>
          <w:t>Commercial users</w:t>
        </w:r>
        <w:r w:rsidR="00E66F15">
          <w:rPr>
            <w:noProof/>
            <w:webHidden/>
          </w:rPr>
          <w:tab/>
        </w:r>
        <w:r w:rsidR="00E66F15">
          <w:rPr>
            <w:noProof/>
            <w:webHidden/>
          </w:rPr>
          <w:fldChar w:fldCharType="begin"/>
        </w:r>
        <w:r w:rsidR="00E66F15">
          <w:rPr>
            <w:noProof/>
            <w:webHidden/>
          </w:rPr>
          <w:instrText xml:space="preserve"> PAGEREF _Toc86219865 \h </w:instrText>
        </w:r>
        <w:r w:rsidR="00E66F15">
          <w:rPr>
            <w:noProof/>
            <w:webHidden/>
          </w:rPr>
        </w:r>
        <w:r w:rsidR="00E66F15">
          <w:rPr>
            <w:noProof/>
            <w:webHidden/>
          </w:rPr>
          <w:fldChar w:fldCharType="separate"/>
        </w:r>
        <w:r w:rsidR="00E66F15">
          <w:rPr>
            <w:noProof/>
            <w:webHidden/>
          </w:rPr>
          <w:t>10</w:t>
        </w:r>
        <w:r w:rsidR="00E66F15">
          <w:rPr>
            <w:noProof/>
            <w:webHidden/>
          </w:rPr>
          <w:fldChar w:fldCharType="end"/>
        </w:r>
      </w:hyperlink>
    </w:p>
    <w:p w14:paraId="139CE596" w14:textId="2F1ED633" w:rsidR="00E66F15" w:rsidRDefault="00A60773">
      <w:pPr>
        <w:pStyle w:val="TOC2"/>
        <w:rPr>
          <w:rFonts w:eastAsiaTheme="minorEastAsia"/>
          <w:noProof/>
          <w:color w:val="auto"/>
          <w:lang w:eastAsia="en-AU"/>
        </w:rPr>
      </w:pPr>
      <w:hyperlink w:anchor="_Toc86219866" w:history="1">
        <w:r w:rsidR="00E66F15" w:rsidRPr="00DB0C26">
          <w:rPr>
            <w:rStyle w:val="Hyperlink"/>
            <w:noProof/>
          </w:rPr>
          <w:t>Large industrial users</w:t>
        </w:r>
        <w:r w:rsidR="00E66F15">
          <w:rPr>
            <w:noProof/>
            <w:webHidden/>
          </w:rPr>
          <w:tab/>
        </w:r>
        <w:r w:rsidR="00E66F15">
          <w:rPr>
            <w:noProof/>
            <w:webHidden/>
          </w:rPr>
          <w:fldChar w:fldCharType="begin"/>
        </w:r>
        <w:r w:rsidR="00E66F15">
          <w:rPr>
            <w:noProof/>
            <w:webHidden/>
          </w:rPr>
          <w:instrText xml:space="preserve"> PAGEREF _Toc86219866 \h </w:instrText>
        </w:r>
        <w:r w:rsidR="00E66F15">
          <w:rPr>
            <w:noProof/>
            <w:webHidden/>
          </w:rPr>
        </w:r>
        <w:r w:rsidR="00E66F15">
          <w:rPr>
            <w:noProof/>
            <w:webHidden/>
          </w:rPr>
          <w:fldChar w:fldCharType="separate"/>
        </w:r>
        <w:r w:rsidR="00E66F15">
          <w:rPr>
            <w:noProof/>
            <w:webHidden/>
          </w:rPr>
          <w:t>10</w:t>
        </w:r>
        <w:r w:rsidR="00E66F15">
          <w:rPr>
            <w:noProof/>
            <w:webHidden/>
          </w:rPr>
          <w:fldChar w:fldCharType="end"/>
        </w:r>
      </w:hyperlink>
    </w:p>
    <w:p w14:paraId="05205CBA" w14:textId="6238D360" w:rsidR="00E66F15" w:rsidRDefault="00A60773">
      <w:pPr>
        <w:pStyle w:val="TOC2"/>
        <w:rPr>
          <w:rFonts w:eastAsiaTheme="minorEastAsia"/>
          <w:noProof/>
          <w:color w:val="auto"/>
          <w:lang w:eastAsia="en-AU"/>
        </w:rPr>
      </w:pPr>
      <w:hyperlink w:anchor="_Toc86219867" w:history="1">
        <w:r w:rsidR="00E66F15" w:rsidRPr="00DB0C26">
          <w:rPr>
            <w:rStyle w:val="Hyperlink"/>
            <w:noProof/>
          </w:rPr>
          <w:t>Gas Powered Electricity Generation</w:t>
        </w:r>
        <w:r w:rsidR="00E66F15">
          <w:rPr>
            <w:noProof/>
            <w:webHidden/>
          </w:rPr>
          <w:tab/>
        </w:r>
        <w:r w:rsidR="00E66F15">
          <w:rPr>
            <w:noProof/>
            <w:webHidden/>
          </w:rPr>
          <w:fldChar w:fldCharType="begin"/>
        </w:r>
        <w:r w:rsidR="00E66F15">
          <w:rPr>
            <w:noProof/>
            <w:webHidden/>
          </w:rPr>
          <w:instrText xml:space="preserve"> PAGEREF _Toc86219867 \h </w:instrText>
        </w:r>
        <w:r w:rsidR="00E66F15">
          <w:rPr>
            <w:noProof/>
            <w:webHidden/>
          </w:rPr>
        </w:r>
        <w:r w:rsidR="00E66F15">
          <w:rPr>
            <w:noProof/>
            <w:webHidden/>
          </w:rPr>
          <w:fldChar w:fldCharType="separate"/>
        </w:r>
        <w:r w:rsidR="00E66F15">
          <w:rPr>
            <w:noProof/>
            <w:webHidden/>
          </w:rPr>
          <w:t>11</w:t>
        </w:r>
        <w:r w:rsidR="00E66F15">
          <w:rPr>
            <w:noProof/>
            <w:webHidden/>
          </w:rPr>
          <w:fldChar w:fldCharType="end"/>
        </w:r>
      </w:hyperlink>
    </w:p>
    <w:p w14:paraId="4591FCA6" w14:textId="0FC2E7CF" w:rsidR="00E66F15" w:rsidRDefault="00A60773">
      <w:pPr>
        <w:pStyle w:val="TOC2"/>
        <w:rPr>
          <w:rFonts w:eastAsiaTheme="minorEastAsia"/>
          <w:noProof/>
          <w:color w:val="auto"/>
          <w:lang w:eastAsia="en-AU"/>
        </w:rPr>
      </w:pPr>
      <w:hyperlink w:anchor="_Toc86219868" w:history="1">
        <w:r w:rsidR="00E66F15" w:rsidRPr="00DB0C26">
          <w:rPr>
            <w:rStyle w:val="Hyperlink"/>
            <w:noProof/>
          </w:rPr>
          <w:t>Tasmania’s small gas market</w:t>
        </w:r>
        <w:r w:rsidR="00E66F15">
          <w:rPr>
            <w:noProof/>
            <w:webHidden/>
          </w:rPr>
          <w:tab/>
        </w:r>
        <w:r w:rsidR="00E66F15">
          <w:rPr>
            <w:noProof/>
            <w:webHidden/>
          </w:rPr>
          <w:fldChar w:fldCharType="begin"/>
        </w:r>
        <w:r w:rsidR="00E66F15">
          <w:rPr>
            <w:noProof/>
            <w:webHidden/>
          </w:rPr>
          <w:instrText xml:space="preserve"> PAGEREF _Toc86219868 \h </w:instrText>
        </w:r>
        <w:r w:rsidR="00E66F15">
          <w:rPr>
            <w:noProof/>
            <w:webHidden/>
          </w:rPr>
        </w:r>
        <w:r w:rsidR="00E66F15">
          <w:rPr>
            <w:noProof/>
            <w:webHidden/>
          </w:rPr>
          <w:fldChar w:fldCharType="separate"/>
        </w:r>
        <w:r w:rsidR="00E66F15">
          <w:rPr>
            <w:noProof/>
            <w:webHidden/>
          </w:rPr>
          <w:t>12</w:t>
        </w:r>
        <w:r w:rsidR="00E66F15">
          <w:rPr>
            <w:noProof/>
            <w:webHidden/>
          </w:rPr>
          <w:fldChar w:fldCharType="end"/>
        </w:r>
      </w:hyperlink>
    </w:p>
    <w:p w14:paraId="0C96452C" w14:textId="4936C683" w:rsidR="00E66F15" w:rsidRDefault="00A60773">
      <w:pPr>
        <w:pStyle w:val="TOC2"/>
        <w:rPr>
          <w:rFonts w:eastAsiaTheme="minorEastAsia"/>
          <w:noProof/>
          <w:color w:val="auto"/>
          <w:lang w:eastAsia="en-AU"/>
        </w:rPr>
      </w:pPr>
      <w:hyperlink w:anchor="_Toc86219869" w:history="1">
        <w:r w:rsidR="00E66F15" w:rsidRPr="00DB0C26">
          <w:rPr>
            <w:rStyle w:val="Hyperlink"/>
            <w:noProof/>
          </w:rPr>
          <w:t>Gas Prices in Tasmania</w:t>
        </w:r>
        <w:r w:rsidR="00E66F15">
          <w:rPr>
            <w:noProof/>
            <w:webHidden/>
          </w:rPr>
          <w:tab/>
        </w:r>
        <w:r w:rsidR="00E66F15">
          <w:rPr>
            <w:noProof/>
            <w:webHidden/>
          </w:rPr>
          <w:fldChar w:fldCharType="begin"/>
        </w:r>
        <w:r w:rsidR="00E66F15">
          <w:rPr>
            <w:noProof/>
            <w:webHidden/>
          </w:rPr>
          <w:instrText xml:space="preserve"> PAGEREF _Toc86219869 \h </w:instrText>
        </w:r>
        <w:r w:rsidR="00E66F15">
          <w:rPr>
            <w:noProof/>
            <w:webHidden/>
          </w:rPr>
        </w:r>
        <w:r w:rsidR="00E66F15">
          <w:rPr>
            <w:noProof/>
            <w:webHidden/>
          </w:rPr>
          <w:fldChar w:fldCharType="separate"/>
        </w:r>
        <w:r w:rsidR="00E66F15">
          <w:rPr>
            <w:noProof/>
            <w:webHidden/>
          </w:rPr>
          <w:t>13</w:t>
        </w:r>
        <w:r w:rsidR="00E66F15">
          <w:rPr>
            <w:noProof/>
            <w:webHidden/>
          </w:rPr>
          <w:fldChar w:fldCharType="end"/>
        </w:r>
      </w:hyperlink>
    </w:p>
    <w:p w14:paraId="7BE86CCB" w14:textId="0C164A83" w:rsidR="00E66F15" w:rsidRDefault="00A60773">
      <w:pPr>
        <w:pStyle w:val="TOC2"/>
        <w:rPr>
          <w:rFonts w:eastAsiaTheme="minorEastAsia"/>
          <w:noProof/>
          <w:color w:val="auto"/>
          <w:lang w:eastAsia="en-AU"/>
        </w:rPr>
      </w:pPr>
      <w:hyperlink w:anchor="_Toc86219870" w:history="1">
        <w:r w:rsidR="00E66F15" w:rsidRPr="00DB0C26">
          <w:rPr>
            <w:rStyle w:val="Hyperlink"/>
            <w:noProof/>
          </w:rPr>
          <w:t>Gas Supply Security in Tasmania</w:t>
        </w:r>
        <w:r w:rsidR="00E66F15">
          <w:rPr>
            <w:noProof/>
            <w:webHidden/>
          </w:rPr>
          <w:tab/>
        </w:r>
        <w:r w:rsidR="00E66F15">
          <w:rPr>
            <w:noProof/>
            <w:webHidden/>
          </w:rPr>
          <w:fldChar w:fldCharType="begin"/>
        </w:r>
        <w:r w:rsidR="00E66F15">
          <w:rPr>
            <w:noProof/>
            <w:webHidden/>
          </w:rPr>
          <w:instrText xml:space="preserve"> PAGEREF _Toc86219870 \h </w:instrText>
        </w:r>
        <w:r w:rsidR="00E66F15">
          <w:rPr>
            <w:noProof/>
            <w:webHidden/>
          </w:rPr>
        </w:r>
        <w:r w:rsidR="00E66F15">
          <w:rPr>
            <w:noProof/>
            <w:webHidden/>
          </w:rPr>
          <w:fldChar w:fldCharType="separate"/>
        </w:r>
        <w:r w:rsidR="00E66F15">
          <w:rPr>
            <w:noProof/>
            <w:webHidden/>
          </w:rPr>
          <w:t>15</w:t>
        </w:r>
        <w:r w:rsidR="00E66F15">
          <w:rPr>
            <w:noProof/>
            <w:webHidden/>
          </w:rPr>
          <w:fldChar w:fldCharType="end"/>
        </w:r>
      </w:hyperlink>
    </w:p>
    <w:p w14:paraId="1EA29059" w14:textId="1759443A" w:rsidR="00E66F15" w:rsidRDefault="00A60773">
      <w:pPr>
        <w:pStyle w:val="TOC1"/>
        <w:rPr>
          <w:rFonts w:eastAsiaTheme="minorEastAsia"/>
          <w:b w:val="0"/>
          <w:noProof/>
          <w:color w:val="auto"/>
          <w:lang w:eastAsia="en-AU"/>
        </w:rPr>
      </w:pPr>
      <w:hyperlink w:anchor="_Toc86219871" w:history="1">
        <w:r w:rsidR="00E66F15" w:rsidRPr="00DB0C26">
          <w:rPr>
            <w:rStyle w:val="Hyperlink"/>
            <w:noProof/>
          </w:rPr>
          <w:t>Decarbonisation of Gas</w:t>
        </w:r>
        <w:r w:rsidR="00E66F15">
          <w:rPr>
            <w:noProof/>
            <w:webHidden/>
          </w:rPr>
          <w:tab/>
        </w:r>
        <w:r w:rsidR="00E66F15">
          <w:rPr>
            <w:noProof/>
            <w:webHidden/>
          </w:rPr>
          <w:fldChar w:fldCharType="begin"/>
        </w:r>
        <w:r w:rsidR="00E66F15">
          <w:rPr>
            <w:noProof/>
            <w:webHidden/>
          </w:rPr>
          <w:instrText xml:space="preserve"> PAGEREF _Toc86219871 \h </w:instrText>
        </w:r>
        <w:r w:rsidR="00E66F15">
          <w:rPr>
            <w:noProof/>
            <w:webHidden/>
          </w:rPr>
        </w:r>
        <w:r w:rsidR="00E66F15">
          <w:rPr>
            <w:noProof/>
            <w:webHidden/>
          </w:rPr>
          <w:fldChar w:fldCharType="separate"/>
        </w:r>
        <w:r w:rsidR="00E66F15">
          <w:rPr>
            <w:noProof/>
            <w:webHidden/>
          </w:rPr>
          <w:t>16</w:t>
        </w:r>
        <w:r w:rsidR="00E66F15">
          <w:rPr>
            <w:noProof/>
            <w:webHidden/>
          </w:rPr>
          <w:fldChar w:fldCharType="end"/>
        </w:r>
      </w:hyperlink>
    </w:p>
    <w:p w14:paraId="5D886FAF" w14:textId="1673754D" w:rsidR="00E66F15" w:rsidRDefault="00A60773">
      <w:pPr>
        <w:pStyle w:val="TOC2"/>
        <w:rPr>
          <w:rFonts w:eastAsiaTheme="minorEastAsia"/>
          <w:noProof/>
          <w:color w:val="auto"/>
          <w:lang w:eastAsia="en-AU"/>
        </w:rPr>
      </w:pPr>
      <w:hyperlink w:anchor="_Toc86219872" w:history="1">
        <w:r w:rsidR="00E66F15" w:rsidRPr="00DB0C26">
          <w:rPr>
            <w:rStyle w:val="Hyperlink"/>
            <w:noProof/>
          </w:rPr>
          <w:t>Pathway to decarbonisation</w:t>
        </w:r>
        <w:r w:rsidR="00E66F15">
          <w:rPr>
            <w:noProof/>
            <w:webHidden/>
          </w:rPr>
          <w:tab/>
        </w:r>
        <w:r w:rsidR="00E66F15">
          <w:rPr>
            <w:noProof/>
            <w:webHidden/>
          </w:rPr>
          <w:fldChar w:fldCharType="begin"/>
        </w:r>
        <w:r w:rsidR="00E66F15">
          <w:rPr>
            <w:noProof/>
            <w:webHidden/>
          </w:rPr>
          <w:instrText xml:space="preserve"> PAGEREF _Toc86219872 \h </w:instrText>
        </w:r>
        <w:r w:rsidR="00E66F15">
          <w:rPr>
            <w:noProof/>
            <w:webHidden/>
          </w:rPr>
        </w:r>
        <w:r w:rsidR="00E66F15">
          <w:rPr>
            <w:noProof/>
            <w:webHidden/>
          </w:rPr>
          <w:fldChar w:fldCharType="separate"/>
        </w:r>
        <w:r w:rsidR="00E66F15">
          <w:rPr>
            <w:noProof/>
            <w:webHidden/>
          </w:rPr>
          <w:t>16</w:t>
        </w:r>
        <w:r w:rsidR="00E66F15">
          <w:rPr>
            <w:noProof/>
            <w:webHidden/>
          </w:rPr>
          <w:fldChar w:fldCharType="end"/>
        </w:r>
      </w:hyperlink>
    </w:p>
    <w:p w14:paraId="5631861B" w14:textId="0B4044AE" w:rsidR="00E66F15" w:rsidRDefault="00A60773">
      <w:pPr>
        <w:pStyle w:val="TOC1"/>
        <w:rPr>
          <w:rFonts w:eastAsiaTheme="minorEastAsia"/>
          <w:b w:val="0"/>
          <w:noProof/>
          <w:color w:val="auto"/>
          <w:lang w:eastAsia="en-AU"/>
        </w:rPr>
      </w:pPr>
      <w:hyperlink w:anchor="_Toc86219873" w:history="1">
        <w:r w:rsidR="00E66F15" w:rsidRPr="00DB0C26">
          <w:rPr>
            <w:rStyle w:val="Hyperlink"/>
            <w:noProof/>
          </w:rPr>
          <w:t>Have your say</w:t>
        </w:r>
        <w:r w:rsidR="00E66F15">
          <w:rPr>
            <w:noProof/>
            <w:webHidden/>
          </w:rPr>
          <w:tab/>
        </w:r>
        <w:r w:rsidR="00E66F15">
          <w:rPr>
            <w:noProof/>
            <w:webHidden/>
          </w:rPr>
          <w:fldChar w:fldCharType="begin"/>
        </w:r>
        <w:r w:rsidR="00E66F15">
          <w:rPr>
            <w:noProof/>
            <w:webHidden/>
          </w:rPr>
          <w:instrText xml:space="preserve"> PAGEREF _Toc86219873 \h </w:instrText>
        </w:r>
        <w:r w:rsidR="00E66F15">
          <w:rPr>
            <w:noProof/>
            <w:webHidden/>
          </w:rPr>
        </w:r>
        <w:r w:rsidR="00E66F15">
          <w:rPr>
            <w:noProof/>
            <w:webHidden/>
          </w:rPr>
          <w:fldChar w:fldCharType="separate"/>
        </w:r>
        <w:r w:rsidR="00E66F15">
          <w:rPr>
            <w:noProof/>
            <w:webHidden/>
          </w:rPr>
          <w:t>19</w:t>
        </w:r>
        <w:r w:rsidR="00E66F15">
          <w:rPr>
            <w:noProof/>
            <w:webHidden/>
          </w:rPr>
          <w:fldChar w:fldCharType="end"/>
        </w:r>
      </w:hyperlink>
    </w:p>
    <w:p w14:paraId="44F2AB7A" w14:textId="6E6DEB27" w:rsidR="00E66F15" w:rsidRDefault="00A60773">
      <w:pPr>
        <w:pStyle w:val="TOC2"/>
        <w:rPr>
          <w:rFonts w:eastAsiaTheme="minorEastAsia"/>
          <w:noProof/>
          <w:color w:val="auto"/>
          <w:lang w:eastAsia="en-AU"/>
        </w:rPr>
      </w:pPr>
      <w:hyperlink w:anchor="_Toc86219874" w:history="1">
        <w:r w:rsidR="00E66F15" w:rsidRPr="00DB0C26">
          <w:rPr>
            <w:rStyle w:val="Hyperlink"/>
            <w:noProof/>
          </w:rPr>
          <w:t>Prompts for discussion</w:t>
        </w:r>
        <w:r w:rsidR="00E66F15">
          <w:rPr>
            <w:noProof/>
            <w:webHidden/>
          </w:rPr>
          <w:tab/>
        </w:r>
        <w:r w:rsidR="00E66F15">
          <w:rPr>
            <w:noProof/>
            <w:webHidden/>
          </w:rPr>
          <w:fldChar w:fldCharType="begin"/>
        </w:r>
        <w:r w:rsidR="00E66F15">
          <w:rPr>
            <w:noProof/>
            <w:webHidden/>
          </w:rPr>
          <w:instrText xml:space="preserve"> PAGEREF _Toc86219874 \h </w:instrText>
        </w:r>
        <w:r w:rsidR="00E66F15">
          <w:rPr>
            <w:noProof/>
            <w:webHidden/>
          </w:rPr>
        </w:r>
        <w:r w:rsidR="00E66F15">
          <w:rPr>
            <w:noProof/>
            <w:webHidden/>
          </w:rPr>
          <w:fldChar w:fldCharType="separate"/>
        </w:r>
        <w:r w:rsidR="00E66F15">
          <w:rPr>
            <w:noProof/>
            <w:webHidden/>
          </w:rPr>
          <w:t>20</w:t>
        </w:r>
        <w:r w:rsidR="00E66F15">
          <w:rPr>
            <w:noProof/>
            <w:webHidden/>
          </w:rPr>
          <w:fldChar w:fldCharType="end"/>
        </w:r>
      </w:hyperlink>
    </w:p>
    <w:p w14:paraId="16585CC7" w14:textId="2CA92FDA" w:rsidR="00DC6D96" w:rsidRDefault="00DC6D96" w:rsidP="00DC6D96">
      <w:pPr>
        <w:rPr>
          <w:rFonts w:ascii="GILL SANS SEMIBOLD" w:hAnsi="GILL SANS SEMIBOLD" w:cs="Gill Sans Nova Medium"/>
          <w:b/>
          <w:color w:val="1C1F4D"/>
          <w:sz w:val="56"/>
          <w:szCs w:val="26"/>
          <w:lang w:val="en-GB"/>
        </w:rPr>
      </w:pPr>
      <w:r>
        <w:fldChar w:fldCharType="end"/>
      </w:r>
      <w:r>
        <w:br w:type="page"/>
      </w:r>
    </w:p>
    <w:p w14:paraId="56EC05B3" w14:textId="77777777" w:rsidR="00DC6D96" w:rsidRPr="00BF5281" w:rsidRDefault="00DC6D96" w:rsidP="00DC6D96">
      <w:pPr>
        <w:pStyle w:val="Heading1RT"/>
      </w:pPr>
      <w:bookmarkStart w:id="0" w:name="_Toc86219851"/>
      <w:r>
        <w:lastRenderedPageBreak/>
        <w:t>Purpose</w:t>
      </w:r>
      <w:bookmarkEnd w:id="0"/>
    </w:p>
    <w:p w14:paraId="31DCE73B" w14:textId="391D6BBF" w:rsidR="00036D3B" w:rsidRDefault="00036D3B" w:rsidP="00036D3B">
      <w:pPr>
        <w:pStyle w:val="BodyText"/>
      </w:pPr>
      <w:bookmarkStart w:id="1" w:name="_Hlk85620758"/>
      <w:r>
        <w:t xml:space="preserve">The Government is developing a Future Gas Strategy (Strategy) that will aim to </w:t>
      </w:r>
      <w:r w:rsidR="0023405B">
        <w:t xml:space="preserve">better understand </w:t>
      </w:r>
      <w:r>
        <w:t xml:space="preserve">the future role of gas in Tasmania over the next 20-30 years. </w:t>
      </w:r>
    </w:p>
    <w:bookmarkEnd w:id="1"/>
    <w:p w14:paraId="72F045FC" w14:textId="52A7D267" w:rsidR="00804AA9" w:rsidRDefault="00036D3B" w:rsidP="00036D3B">
      <w:pPr>
        <w:pStyle w:val="BodyText"/>
      </w:pPr>
      <w:r>
        <w:t>A Working Group has been established to support the development of the Strategy which includes key industry and consumer representatives.</w:t>
      </w:r>
      <w:r w:rsidR="00804AA9">
        <w:t xml:space="preserve"> </w:t>
      </w:r>
    </w:p>
    <w:p w14:paraId="37A381D7" w14:textId="7253E1E9" w:rsidR="00DC6D96" w:rsidRDefault="00DC6D96" w:rsidP="00DC6D96">
      <w:pPr>
        <w:pStyle w:val="BodyText"/>
      </w:pPr>
      <w:bookmarkStart w:id="2" w:name="_Hlk85621788"/>
      <w:r>
        <w:t>This Discussion Paper is the first phase of a consultation process to understand the views of business, households, and the community about the future role of gas in Tasmania. The Government is seeking to engage with all interested parties on their perspectives.</w:t>
      </w:r>
    </w:p>
    <w:p w14:paraId="16B8D878" w14:textId="77777777" w:rsidR="00DC6D96" w:rsidRDefault="00DC6D96" w:rsidP="00DC6D96">
      <w:pPr>
        <w:pStyle w:val="BodyText"/>
      </w:pPr>
      <w:bookmarkStart w:id="3" w:name="_Hlk85620800"/>
      <w:bookmarkStart w:id="4" w:name="_Hlk85621835"/>
      <w:bookmarkEnd w:id="2"/>
      <w:r>
        <w:t>The Discussion Paper sets out the current state of the gas market in Tasmania and some of the policy and market factors that are likely to influence its future</w:t>
      </w:r>
      <w:bookmarkEnd w:id="3"/>
      <w:r>
        <w:t xml:space="preserve">. </w:t>
      </w:r>
      <w:bookmarkEnd w:id="4"/>
      <w:r>
        <w:t>At the end of the paper, a set of guiding questions are provided for you to consider when providing feedback.</w:t>
      </w:r>
    </w:p>
    <w:p w14:paraId="4C553262" w14:textId="77777777" w:rsidR="00DC6D96" w:rsidRDefault="00DC6D96" w:rsidP="00DC6D96">
      <w:pPr>
        <w:pStyle w:val="BodyText"/>
      </w:pPr>
      <w:r>
        <w:t xml:space="preserve">In response to feedback received on the draft </w:t>
      </w:r>
      <w:r>
        <w:rPr>
          <w:i/>
          <w:iCs/>
        </w:rPr>
        <w:t>Tasmanian Renewable Energy Action Plan</w:t>
      </w:r>
      <w:r>
        <w:t>, the Government also committed to undertake a gas decarbonisation pathway study. This work is incorporated as part of this strategy.</w:t>
      </w:r>
    </w:p>
    <w:p w14:paraId="7B7ABBAE" w14:textId="5E4937C3" w:rsidR="00DC6D96" w:rsidRDefault="00DC6D96" w:rsidP="00DC6D96">
      <w:pPr>
        <w:pStyle w:val="BodyText"/>
      </w:pPr>
      <w:bookmarkStart w:id="5" w:name="_Hlk85618655"/>
      <w:r>
        <w:t xml:space="preserve">After considering the feedback received on this Discussion Paper, a draft gas strategy will be released </w:t>
      </w:r>
      <w:r w:rsidR="007E1093">
        <w:t xml:space="preserve">in </w:t>
      </w:r>
      <w:r w:rsidR="0043761F">
        <w:t>the first half of</w:t>
      </w:r>
      <w:r w:rsidR="007E1093">
        <w:t xml:space="preserve"> 2022</w:t>
      </w:r>
      <w:r>
        <w:t xml:space="preserve"> for further consultation. The Government is aiming to release the final strategy </w:t>
      </w:r>
      <w:r w:rsidR="007E1093">
        <w:t xml:space="preserve">later </w:t>
      </w:r>
      <w:r>
        <w:t>in 2022.</w:t>
      </w:r>
    </w:p>
    <w:bookmarkEnd w:id="5"/>
    <w:p w14:paraId="2E7EF980" w14:textId="77777777" w:rsidR="00DC6D96" w:rsidRPr="00462469" w:rsidRDefault="00DC6D96" w:rsidP="00DC6D96">
      <w:pPr>
        <w:pStyle w:val="BodyText"/>
      </w:pPr>
    </w:p>
    <w:p w14:paraId="58365D91" w14:textId="77777777" w:rsidR="00DC6D96" w:rsidRDefault="00DC6D96" w:rsidP="00DC6D96">
      <w:pPr>
        <w:pStyle w:val="Heading1RT"/>
      </w:pPr>
      <w:bookmarkStart w:id="6" w:name="_Toc86219852"/>
      <w:r>
        <w:t>Introduction</w:t>
      </w:r>
      <w:bookmarkEnd w:id="6"/>
    </w:p>
    <w:p w14:paraId="38B07B1D" w14:textId="77777777" w:rsidR="00DC6D96" w:rsidRDefault="00DC6D96" w:rsidP="00DC6D96">
      <w:pPr>
        <w:pStyle w:val="BodyText"/>
      </w:pPr>
      <w:r>
        <w:t>Australian gas markets are experiencing a period of rapid transition relating to all aspects of the gas supply chain.</w:t>
      </w:r>
      <w:r w:rsidRPr="00E35E63">
        <w:t xml:space="preserve"> </w:t>
      </w:r>
    </w:p>
    <w:p w14:paraId="656FCF8A" w14:textId="77777777" w:rsidR="00DC6D96" w:rsidRDefault="00DC6D96" w:rsidP="00DC6D96">
      <w:pPr>
        <w:pStyle w:val="BodyText"/>
      </w:pPr>
      <w:r>
        <w:rPr>
          <w:rStyle w:val="BodytextBold"/>
        </w:rPr>
        <w:t>We are also seeing Australia’s e</w:t>
      </w:r>
      <w:r w:rsidRPr="006469B7">
        <w:rPr>
          <w:rStyle w:val="BodytextBold"/>
        </w:rPr>
        <w:t xml:space="preserve">nergy systems </w:t>
      </w:r>
      <w:r>
        <w:rPr>
          <w:rStyle w:val="BodytextBold"/>
        </w:rPr>
        <w:t>undergoing</w:t>
      </w:r>
      <w:r w:rsidRPr="006469B7">
        <w:rPr>
          <w:rStyle w:val="BodytextBold"/>
        </w:rPr>
        <w:t xml:space="preserve"> a transition from fossil fuels to renewable energy generation. </w:t>
      </w:r>
      <w:r w:rsidRPr="00760A72">
        <w:rPr>
          <w:rStyle w:val="BodytextBold"/>
          <w:b w:val="0"/>
          <w:bCs w:val="0"/>
        </w:rPr>
        <w:t xml:space="preserve">Globally, </w:t>
      </w:r>
      <w:r w:rsidRPr="00760A72">
        <w:rPr>
          <w:rStyle w:val="BodytextBold"/>
        </w:rPr>
        <w:t>c</w:t>
      </w:r>
      <w:r w:rsidRPr="00760A72">
        <w:t xml:space="preserve">ountries </w:t>
      </w:r>
      <w:r w:rsidRPr="00603EC3">
        <w:t>are looking to use cleaner, renewable forms of energy to decarbonise their economies</w:t>
      </w:r>
      <w:r>
        <w:t xml:space="preserve"> and there is g</w:t>
      </w:r>
      <w:r w:rsidRPr="00603EC3">
        <w:t>rowing domestic and international interest to decarbonise gas.</w:t>
      </w:r>
      <w:r>
        <w:t xml:space="preserve"> </w:t>
      </w:r>
    </w:p>
    <w:p w14:paraId="1539EF46" w14:textId="7A2117E9" w:rsidR="00DC6D96" w:rsidRDefault="00B02928" w:rsidP="00DC6D96">
      <w:pPr>
        <w:pStyle w:val="BodyText"/>
      </w:pPr>
      <w:bookmarkStart w:id="7" w:name="_Hlk85621142"/>
      <w:r>
        <w:t>T</w:t>
      </w:r>
      <w:r w:rsidR="00DC6D96">
        <w:t>he Government recognises that t</w:t>
      </w:r>
      <w:r w:rsidR="00DC6D96" w:rsidRPr="00E37D82">
        <w:t>hose in the gas supply chain in Tasmania</w:t>
      </w:r>
      <w:r w:rsidR="00DC6D96">
        <w:t xml:space="preserve"> </w:t>
      </w:r>
      <w:r w:rsidR="00DC6D96" w:rsidRPr="00E37D82">
        <w:t>are looking</w:t>
      </w:r>
      <w:r w:rsidR="000507F6">
        <w:t xml:space="preserve"> to better understand</w:t>
      </w:r>
      <w:r w:rsidR="00DC6D96">
        <w:t xml:space="preserve"> the future role of gas in Tasmania. </w:t>
      </w:r>
      <w:proofErr w:type="gramStart"/>
      <w:r w:rsidR="00DC6D96">
        <w:t>This is why</w:t>
      </w:r>
      <w:proofErr w:type="gramEnd"/>
      <w:r w:rsidR="00DC6D96">
        <w:t xml:space="preserve"> we are developing a Strategy that will help all Tasmania’s gas market participants including gas customers, network operators, shippers, and retailers, to better plan for the future of gas. </w:t>
      </w:r>
    </w:p>
    <w:bookmarkEnd w:id="7"/>
    <w:p w14:paraId="6A9D1237" w14:textId="77777777" w:rsidR="00DC6D96" w:rsidRDefault="00DC6D96" w:rsidP="00DC6D96">
      <w:pPr>
        <w:pStyle w:val="BodyText"/>
      </w:pPr>
      <w:r>
        <w:t>The Tasmanian Government understands the importance of starting to build a plan now that will support the future direction of gas in Tasmania over the next 20-30 years. To help inform the Strategy, the G</w:t>
      </w:r>
      <w:r w:rsidRPr="00E37D82">
        <w:t>overnment</w:t>
      </w:r>
      <w:r w:rsidRPr="00654491">
        <w:t xml:space="preserve"> </w:t>
      </w:r>
      <w:r>
        <w:t xml:space="preserve">is seeking the views of the community and industry to better understand the opportunities and challenges that a changing gas sector will bring. </w:t>
      </w:r>
    </w:p>
    <w:p w14:paraId="60E660AC" w14:textId="77777777" w:rsidR="006867B9" w:rsidRDefault="006867B9">
      <w:pPr>
        <w:rPr>
          <w:sz w:val="22"/>
          <w:szCs w:val="22"/>
        </w:rPr>
      </w:pPr>
      <w:r>
        <w:br w:type="page"/>
      </w:r>
    </w:p>
    <w:p w14:paraId="26D0B441" w14:textId="5F9E8F25" w:rsidR="00DC6D96" w:rsidRDefault="00DC6D96" w:rsidP="00DC6D96">
      <w:pPr>
        <w:pStyle w:val="BodyText"/>
      </w:pPr>
      <w:r>
        <w:lastRenderedPageBreak/>
        <w:t xml:space="preserve">The final Strategy will: </w:t>
      </w:r>
    </w:p>
    <w:p w14:paraId="2F9FE726" w14:textId="77777777" w:rsidR="00DC6D96" w:rsidRDefault="00DC6D96" w:rsidP="00DC6D96">
      <w:pPr>
        <w:pStyle w:val="BodyText"/>
        <w:numPr>
          <w:ilvl w:val="0"/>
          <w:numId w:val="19"/>
        </w:numPr>
      </w:pPr>
      <w:r>
        <w:t>consider the current challenges facing the Tasmanian gas market;</w:t>
      </w:r>
    </w:p>
    <w:p w14:paraId="247365DD" w14:textId="77777777" w:rsidR="00DC6D96" w:rsidRDefault="00DC6D96" w:rsidP="00DC6D96">
      <w:pPr>
        <w:pStyle w:val="BodyText"/>
        <w:numPr>
          <w:ilvl w:val="0"/>
          <w:numId w:val="19"/>
        </w:numPr>
      </w:pPr>
      <w:r>
        <w:t xml:space="preserve">identify possible options for the Tasmanian gas market;   </w:t>
      </w:r>
    </w:p>
    <w:p w14:paraId="7A178694" w14:textId="77777777" w:rsidR="00DC6D96" w:rsidRDefault="00DC6D96" w:rsidP="00DC6D96">
      <w:pPr>
        <w:pStyle w:val="BodyText"/>
        <w:numPr>
          <w:ilvl w:val="0"/>
          <w:numId w:val="19"/>
        </w:numPr>
      </w:pPr>
      <w:r>
        <w:t>consider the risks and opportunities to gas consumers in moving towards net zero emissions and renewable fuels; and</w:t>
      </w:r>
    </w:p>
    <w:p w14:paraId="7392DDEA" w14:textId="77777777" w:rsidR="00DC6D96" w:rsidRDefault="00DC6D96" w:rsidP="00DC6D96">
      <w:pPr>
        <w:pStyle w:val="BodyText"/>
        <w:numPr>
          <w:ilvl w:val="0"/>
          <w:numId w:val="19"/>
        </w:numPr>
      </w:pPr>
      <w:r w:rsidRPr="008A7265">
        <w:t>start exploring the most promising pathways to decarbonisation</w:t>
      </w:r>
      <w:r>
        <w:t xml:space="preserve">. </w:t>
      </w:r>
    </w:p>
    <w:p w14:paraId="6458477A" w14:textId="77777777" w:rsidR="00DC6D96" w:rsidRDefault="00DC6D96" w:rsidP="00DC6D96">
      <w:pPr>
        <w:pStyle w:val="BodyText"/>
      </w:pPr>
      <w:r>
        <w:t xml:space="preserve">Maintaining jobs, encouraging growth and investment, and protecting the interests of Tasmanian consumers while ensuring energy remains affordable and reliable remain key priorities for the Government. </w:t>
      </w:r>
    </w:p>
    <w:p w14:paraId="0556B67B" w14:textId="77777777" w:rsidR="00DC6D96" w:rsidRDefault="00DC6D96" w:rsidP="00DC6D96">
      <w:pPr>
        <w:pStyle w:val="BodyText"/>
      </w:pPr>
      <w:bookmarkStart w:id="8" w:name="_Hlk85621935"/>
      <w:r>
        <w:t>We intend to engage with all interested stakeholders to seek input, guidance and perspectives to help our thinking on key issues.</w:t>
      </w:r>
      <w:bookmarkEnd w:id="8"/>
      <w:r>
        <w:t xml:space="preserve"> This Discussion Paper and its supporting documents have been released to support this engagement.  </w:t>
      </w:r>
    </w:p>
    <w:p w14:paraId="6AA345DA" w14:textId="77777777" w:rsidR="00DC6D96" w:rsidRDefault="00DC6D96" w:rsidP="00DC6D96">
      <w:pPr>
        <w:pStyle w:val="BodyText"/>
      </w:pPr>
      <w:r w:rsidRPr="00DF131A">
        <w:t xml:space="preserve">We have designed this </w:t>
      </w:r>
      <w:r>
        <w:t>Discussion Paper</w:t>
      </w:r>
      <w:r w:rsidRPr="00DF131A">
        <w:t xml:space="preserve"> </w:t>
      </w:r>
      <w:r>
        <w:t xml:space="preserve">to provide a succinct outline of the key issues that we will be examining, and to encourage submissions on all or any part of our scope. There are a series of questions at the end of the Paper that we ask you to consider in providing your feedback. </w:t>
      </w:r>
    </w:p>
    <w:p w14:paraId="14BBACBE" w14:textId="77777777" w:rsidR="00DC6D96" w:rsidRDefault="00DC6D96" w:rsidP="00DC6D96">
      <w:pPr>
        <w:pStyle w:val="BodyText"/>
      </w:pPr>
      <w:r>
        <w:t xml:space="preserve">Key milestones for the development of the gas strategy include: </w:t>
      </w:r>
    </w:p>
    <w:p w14:paraId="7EDEA1C1" w14:textId="23FA124E" w:rsidR="00DC6D96" w:rsidRDefault="0087239D" w:rsidP="00DC6D96">
      <w:pPr>
        <w:pStyle w:val="BodyText"/>
        <w:numPr>
          <w:ilvl w:val="0"/>
          <w:numId w:val="19"/>
        </w:numPr>
      </w:pPr>
      <w:r>
        <w:t>12</w:t>
      </w:r>
      <w:r w:rsidR="001066B8">
        <w:t xml:space="preserve"> </w:t>
      </w:r>
      <w:r w:rsidR="006F33F1">
        <w:t>Novem</w:t>
      </w:r>
      <w:r w:rsidR="007E1093">
        <w:t>ber</w:t>
      </w:r>
      <w:r w:rsidR="00DC6D96">
        <w:t xml:space="preserve"> 2021 – Discussion Paper released </w:t>
      </w:r>
    </w:p>
    <w:p w14:paraId="3DF053D0" w14:textId="58525BB7" w:rsidR="00DC6D96" w:rsidRDefault="0087239D" w:rsidP="00DC6D96">
      <w:pPr>
        <w:pStyle w:val="BodyText"/>
        <w:numPr>
          <w:ilvl w:val="0"/>
          <w:numId w:val="19"/>
        </w:numPr>
      </w:pPr>
      <w:r>
        <w:t xml:space="preserve">21 January </w:t>
      </w:r>
      <w:r w:rsidR="00DC6D96">
        <w:t>202</w:t>
      </w:r>
      <w:r>
        <w:t>2</w:t>
      </w:r>
      <w:r w:rsidR="00DC6D96">
        <w:t xml:space="preserve"> – Submissions close on Discussion Paper</w:t>
      </w:r>
    </w:p>
    <w:p w14:paraId="47CC1F37" w14:textId="62FF39B2" w:rsidR="00DC6D96" w:rsidRDefault="0087239D" w:rsidP="00DC6D96">
      <w:pPr>
        <w:pStyle w:val="BodyText"/>
        <w:numPr>
          <w:ilvl w:val="0"/>
          <w:numId w:val="19"/>
        </w:numPr>
      </w:pPr>
      <w:r>
        <w:t>First half of</w:t>
      </w:r>
      <w:r w:rsidR="007E1093">
        <w:t xml:space="preserve"> </w:t>
      </w:r>
      <w:r w:rsidR="00DC6D96">
        <w:t>202</w:t>
      </w:r>
      <w:r w:rsidR="007E1093">
        <w:t>2</w:t>
      </w:r>
      <w:r w:rsidR="00DC6D96">
        <w:t xml:space="preserve"> – Consultation on Draft Future Gas Strategy </w:t>
      </w:r>
    </w:p>
    <w:p w14:paraId="7CD653D9" w14:textId="35457F7E" w:rsidR="00DC6D96" w:rsidRDefault="00DC6D96" w:rsidP="00DC6D96">
      <w:pPr>
        <w:pStyle w:val="BodyText"/>
        <w:numPr>
          <w:ilvl w:val="0"/>
          <w:numId w:val="19"/>
        </w:numPr>
      </w:pPr>
      <w:r>
        <w:t xml:space="preserve">2022 - </w:t>
      </w:r>
      <w:r w:rsidRPr="00294547">
        <w:t xml:space="preserve">Public Release of Final </w:t>
      </w:r>
      <w:r>
        <w:t xml:space="preserve">Future Gas </w:t>
      </w:r>
      <w:r w:rsidRPr="00294547">
        <w:t>Strategy</w:t>
      </w:r>
    </w:p>
    <w:p w14:paraId="455BA7FD" w14:textId="77777777" w:rsidR="00DC6D96" w:rsidRPr="00294547" w:rsidRDefault="00DC6D96" w:rsidP="00DC6D96">
      <w:pPr>
        <w:pStyle w:val="BodyText"/>
      </w:pPr>
    </w:p>
    <w:p w14:paraId="68486DFF" w14:textId="77777777" w:rsidR="00DC6D96" w:rsidRDefault="00DC6D96" w:rsidP="00DC6D96">
      <w:pPr>
        <w:rPr>
          <w:rFonts w:ascii="GILL SANS SEMIBOLD" w:hAnsi="GILL SANS SEMIBOLD" w:cs="Gill Sans Nova Medium"/>
          <w:b/>
          <w:color w:val="1C1F4D"/>
          <w:sz w:val="56"/>
          <w:szCs w:val="26"/>
          <w:lang w:val="en-GB"/>
        </w:rPr>
      </w:pPr>
      <w:r>
        <w:br w:type="page"/>
      </w:r>
    </w:p>
    <w:p w14:paraId="3DB0CEB7" w14:textId="77777777" w:rsidR="00DC6D96" w:rsidRDefault="00DC6D96" w:rsidP="00DC6D96">
      <w:pPr>
        <w:pStyle w:val="Heading1RT"/>
      </w:pPr>
      <w:bookmarkStart w:id="9" w:name="_Toc86219853"/>
      <w:r>
        <w:lastRenderedPageBreak/>
        <w:t>Tasmanian Government Policy Settings</w:t>
      </w:r>
      <w:bookmarkEnd w:id="9"/>
    </w:p>
    <w:p w14:paraId="42F71EB8" w14:textId="77777777" w:rsidR="00DC6D96" w:rsidRDefault="00DC6D96" w:rsidP="00DC6D96">
      <w:pPr>
        <w:pStyle w:val="BodyText"/>
      </w:pPr>
      <w:r>
        <w:t>The Tasmanian Government has a number of existing policy settings that will influence the future role of gas in Tasmania.</w:t>
      </w:r>
    </w:p>
    <w:p w14:paraId="1D624353" w14:textId="77777777" w:rsidR="00DC6D96" w:rsidRDefault="00DC6D96" w:rsidP="00DC6D96">
      <w:pPr>
        <w:pStyle w:val="Headling2RT"/>
      </w:pPr>
      <w:bookmarkStart w:id="10" w:name="_Toc86219854"/>
      <w:r>
        <w:t>T</w:t>
      </w:r>
      <w:r w:rsidRPr="006344B5">
        <w:t>he Tasmanian Renewable Energy Target</w:t>
      </w:r>
      <w:bookmarkEnd w:id="10"/>
    </w:p>
    <w:p w14:paraId="5DBD8FC2" w14:textId="77777777" w:rsidR="00DC6D96" w:rsidRDefault="00DC6D96" w:rsidP="00DC6D96">
      <w:pPr>
        <w:pStyle w:val="BodyText"/>
      </w:pPr>
      <w:r w:rsidRPr="005C44DE">
        <w:t>The Government legislated the Tasmanian Renewable Energy Target (TRET)</w:t>
      </w:r>
      <w:r>
        <w:t xml:space="preserve"> in November 2020</w:t>
      </w:r>
      <w:r w:rsidRPr="005C44DE">
        <w:t xml:space="preserve">. The TRET </w:t>
      </w:r>
      <w:r>
        <w:t xml:space="preserve">aims to </w:t>
      </w:r>
      <w:r w:rsidRPr="005C44DE">
        <w:t xml:space="preserve">increase the state’s renewable energy output </w:t>
      </w:r>
      <w:r>
        <w:t xml:space="preserve">to the </w:t>
      </w:r>
      <w:r w:rsidRPr="005C44DE">
        <w:t xml:space="preserve">equivalent </w:t>
      </w:r>
      <w:r>
        <w:t>of</w:t>
      </w:r>
      <w:r w:rsidRPr="005C44DE">
        <w:t xml:space="preserve"> 200 per cent of </w:t>
      </w:r>
      <w:r>
        <w:t xml:space="preserve">its 2020 </w:t>
      </w:r>
      <w:r w:rsidRPr="005C44DE">
        <w:t xml:space="preserve">renewable electricity generation levels (set at a baseline of 10,500 GWh). This means that by 2040, Tasmania will produce </w:t>
      </w:r>
      <w:r>
        <w:t>21,000 GWh of electricity from renewables.</w:t>
      </w:r>
    </w:p>
    <w:p w14:paraId="4C40DFB1" w14:textId="77777777" w:rsidR="00DC6D96" w:rsidRDefault="00DC6D96" w:rsidP="00DC6D96">
      <w:pPr>
        <w:pStyle w:val="Headling2RT"/>
      </w:pPr>
      <w:bookmarkStart w:id="11" w:name="_Toc86219855"/>
      <w:r w:rsidRPr="005C44DE">
        <w:t>The Tasmanian Renewable Energy Action Plan</w:t>
      </w:r>
      <w:bookmarkEnd w:id="11"/>
    </w:p>
    <w:p w14:paraId="6FD25773" w14:textId="77777777" w:rsidR="00DC6D96" w:rsidRPr="0059642C" w:rsidRDefault="00DC6D96" w:rsidP="00DC6D96">
      <w:pPr>
        <w:rPr>
          <w:sz w:val="22"/>
          <w:szCs w:val="22"/>
        </w:rPr>
      </w:pPr>
      <w:r w:rsidRPr="0059642C">
        <w:rPr>
          <w:sz w:val="22"/>
          <w:szCs w:val="22"/>
        </w:rPr>
        <w:t>In December 2020, the Government launched the final version of the Tasmanian Renewable Energy Action Plan (the TREAP). The TREAP details the Government’s vision for our renewable energy future. It sets targets and identifies actions designed to grow and expand Tasmania’s renewable energy sector into the future.</w:t>
      </w:r>
    </w:p>
    <w:p w14:paraId="7371C1EC" w14:textId="77777777" w:rsidR="00DC6D96" w:rsidRPr="0059642C" w:rsidRDefault="00DC6D96" w:rsidP="00DC6D96">
      <w:pPr>
        <w:rPr>
          <w:sz w:val="22"/>
          <w:szCs w:val="22"/>
        </w:rPr>
      </w:pPr>
    </w:p>
    <w:p w14:paraId="6E297158" w14:textId="7F009D63" w:rsidR="00DC6D96" w:rsidRPr="0059642C" w:rsidRDefault="00DC6D96" w:rsidP="00DC6D96">
      <w:pPr>
        <w:rPr>
          <w:sz w:val="22"/>
          <w:szCs w:val="22"/>
        </w:rPr>
      </w:pPr>
      <w:r w:rsidRPr="0059642C">
        <w:rPr>
          <w:sz w:val="22"/>
          <w:szCs w:val="22"/>
        </w:rPr>
        <w:t xml:space="preserve">The TREAP includes an action to undertake </w:t>
      </w:r>
      <w:r w:rsidRPr="0059642C">
        <w:rPr>
          <w:b/>
          <w:bCs/>
          <w:sz w:val="22"/>
          <w:szCs w:val="22"/>
        </w:rPr>
        <w:t>a gas decarbonisation pathway study in 2021</w:t>
      </w:r>
      <w:r w:rsidRPr="0059642C">
        <w:rPr>
          <w:sz w:val="22"/>
          <w:szCs w:val="22"/>
        </w:rPr>
        <w:t xml:space="preserve">. This study involves examining various pathways for decarbonising our gas networks, such as the utilisation of locally produced renewable hydrogen or biogas. The outcome of this study will form a key part of the final Future Gas Strategy. Further information about this study is </w:t>
      </w:r>
      <w:r w:rsidR="00B02928">
        <w:rPr>
          <w:sz w:val="22"/>
          <w:szCs w:val="22"/>
        </w:rPr>
        <w:t>set out below under the “</w:t>
      </w:r>
      <w:r w:rsidR="00B02928" w:rsidRPr="00B02928">
        <w:rPr>
          <w:sz w:val="22"/>
          <w:szCs w:val="22"/>
        </w:rPr>
        <w:t>Pathway to decarbonisation</w:t>
      </w:r>
      <w:r w:rsidR="00B02928">
        <w:rPr>
          <w:sz w:val="22"/>
          <w:szCs w:val="22"/>
        </w:rPr>
        <w:t>”</w:t>
      </w:r>
      <w:r w:rsidR="00036D3B">
        <w:rPr>
          <w:sz w:val="22"/>
          <w:szCs w:val="22"/>
        </w:rPr>
        <w:t xml:space="preserve"> section</w:t>
      </w:r>
      <w:r w:rsidRPr="0059642C">
        <w:rPr>
          <w:sz w:val="22"/>
          <w:szCs w:val="22"/>
        </w:rPr>
        <w:t>.</w:t>
      </w:r>
    </w:p>
    <w:p w14:paraId="46EE2B7D" w14:textId="77777777" w:rsidR="00DC6D96" w:rsidRDefault="00DC6D96" w:rsidP="00DC6D96">
      <w:pPr>
        <w:pStyle w:val="Headling2RT"/>
      </w:pPr>
      <w:bookmarkStart w:id="12" w:name="_Toc86219856"/>
      <w:r w:rsidRPr="005C44DE">
        <w:t>The Tasmanian Renewable Hydrogen Action Plan</w:t>
      </w:r>
      <w:bookmarkEnd w:id="12"/>
    </w:p>
    <w:p w14:paraId="3A073141" w14:textId="77777777" w:rsidR="00DC6D96" w:rsidRDefault="00DC6D96" w:rsidP="00DC6D96">
      <w:pPr>
        <w:pStyle w:val="BodyText"/>
      </w:pPr>
      <w:r>
        <w:t>I</w:t>
      </w:r>
      <w:r w:rsidRPr="005C44DE">
        <w:t>n March 2020</w:t>
      </w:r>
      <w:r>
        <w:t>, t</w:t>
      </w:r>
      <w:r w:rsidRPr="00564997">
        <w:t>he Tasmanian Government released the Tasmanian Renewable Hydrogen Action Plan, with a vision for our island to become a world leader in large-scale renewable hydrogen production for domestic use and export.</w:t>
      </w:r>
    </w:p>
    <w:p w14:paraId="40F95218" w14:textId="77777777" w:rsidR="00DC6D96" w:rsidRDefault="00DC6D96" w:rsidP="00DC6D96">
      <w:pPr>
        <w:pStyle w:val="BodyText"/>
      </w:pPr>
      <w:r>
        <w:t>As outlined in the TRHAP, the Government has committed to work with the incumbent natural gas distribution network infrastructure owner to explore opportunities for hydrogen blending at 10 per cent and to investigate potential trials of higher hydrogen blends in Tasmania’s hydrogen compatible gas distribution networks.</w:t>
      </w:r>
    </w:p>
    <w:p w14:paraId="37CF4780" w14:textId="77777777" w:rsidR="00DC6D96" w:rsidRDefault="00DC6D96" w:rsidP="00DC6D96">
      <w:pPr>
        <w:pStyle w:val="BodyText"/>
      </w:pPr>
      <w:r>
        <w:t>T</w:t>
      </w:r>
      <w:r w:rsidRPr="00283CAA">
        <w:t xml:space="preserve">he Tasmanian Government </w:t>
      </w:r>
      <w:r>
        <w:t xml:space="preserve">is </w:t>
      </w:r>
      <w:r w:rsidRPr="00283CAA">
        <w:t>support</w:t>
      </w:r>
      <w:r>
        <w:t xml:space="preserve">ing a number of hydrogen projects, including Grange Resource’s facility at Port Latta, which is </w:t>
      </w:r>
      <w:r w:rsidRPr="00283CAA">
        <w:t>explor</w:t>
      </w:r>
      <w:r>
        <w:t>ing</w:t>
      </w:r>
      <w:r w:rsidRPr="00283CAA">
        <w:t xml:space="preserve"> the potential to use hydrogen to replace natural gas for industrial heating</w:t>
      </w:r>
      <w:r>
        <w:t>.</w:t>
      </w:r>
    </w:p>
    <w:p w14:paraId="25F6B8BE" w14:textId="77777777" w:rsidR="00DC6D96" w:rsidRDefault="00DC6D96" w:rsidP="00DC6D96">
      <w:pPr>
        <w:rPr>
          <w:rFonts w:ascii="Times New Roman" w:eastAsia="Times New Roman" w:hAnsi="Times New Roman" w:cs="Times New Roman"/>
          <w:b/>
          <w:bCs/>
          <w:sz w:val="27"/>
          <w:szCs w:val="27"/>
          <w:lang w:eastAsia="en-AU"/>
        </w:rPr>
      </w:pPr>
      <w:r>
        <w:br w:type="page"/>
      </w:r>
    </w:p>
    <w:p w14:paraId="051A1031" w14:textId="77777777" w:rsidR="00DC6D96" w:rsidRDefault="00DC6D96" w:rsidP="00DC6D96">
      <w:pPr>
        <w:pStyle w:val="Headling2RT"/>
      </w:pPr>
      <w:bookmarkStart w:id="13" w:name="_Toc86219857"/>
      <w:r>
        <w:lastRenderedPageBreak/>
        <w:t>Bioenergy Vision for Tasmania</w:t>
      </w:r>
      <w:bookmarkEnd w:id="13"/>
    </w:p>
    <w:p w14:paraId="53EBDFFF" w14:textId="77777777" w:rsidR="00DC6D96" w:rsidRDefault="00DC6D96" w:rsidP="00DC6D96">
      <w:pPr>
        <w:pStyle w:val="BodyText"/>
      </w:pPr>
      <w:r>
        <w:t xml:space="preserve">The Government is developing a Bioenergy Vision in consultation with industry and stakeholders which will identify how the State can unlock private sector investment in bioenergy in Tasmania. </w:t>
      </w:r>
    </w:p>
    <w:p w14:paraId="1AFD1C52" w14:textId="23E5CDD7" w:rsidR="00DC6D96" w:rsidRDefault="00DC6D96" w:rsidP="00DC6D96">
      <w:pPr>
        <w:pStyle w:val="BodyText"/>
      </w:pPr>
      <w:r>
        <w:t>Renewables</w:t>
      </w:r>
      <w:r w:rsidR="002A3B8A">
        <w:t>, Climate and Future Industries</w:t>
      </w:r>
      <w:r>
        <w:t xml:space="preserve"> Tasmania </w:t>
      </w:r>
      <w:r w:rsidR="002A3B8A">
        <w:t xml:space="preserve">(ReCFIT) </w:t>
      </w:r>
      <w:r>
        <w:t xml:space="preserve">will explore options to use bioenergy to decarbonise its economy by displacing fossil fuels used in heat generation and the production of transport fuels. </w:t>
      </w:r>
      <w:r w:rsidR="002A3B8A">
        <w:t xml:space="preserve">ReCFIT </w:t>
      </w:r>
      <w:r>
        <w:t xml:space="preserve">will also examine the feasibility of replacing boilers in Government buildings that currently </w:t>
      </w:r>
      <w:proofErr w:type="gramStart"/>
      <w:r>
        <w:t>run on</w:t>
      </w:r>
      <w:proofErr w:type="gramEnd"/>
      <w:r>
        <w:t xml:space="preserve"> fossil fuels, with renewable energy sources including boilers that use biomass as their feedstock.</w:t>
      </w:r>
    </w:p>
    <w:p w14:paraId="7B3431BA" w14:textId="77777777" w:rsidR="00DC6D96" w:rsidRPr="005C44DE" w:rsidRDefault="00DC6D96" w:rsidP="00DC6D96">
      <w:pPr>
        <w:pStyle w:val="Headling2RT"/>
      </w:pPr>
      <w:bookmarkStart w:id="14" w:name="_Toc86219858"/>
      <w:bookmarkStart w:id="15" w:name="_Hlk85533332"/>
      <w:r>
        <w:t xml:space="preserve">The </w:t>
      </w:r>
      <w:r w:rsidRPr="005C44DE">
        <w:t>Climate Change Action Plan</w:t>
      </w:r>
      <w:r>
        <w:t xml:space="preserve"> and Tasmania’s commitment to net zero emissions</w:t>
      </w:r>
      <w:bookmarkEnd w:id="14"/>
      <w:r>
        <w:t xml:space="preserve"> </w:t>
      </w:r>
    </w:p>
    <w:p w14:paraId="1C64B8C3" w14:textId="7D1963AB" w:rsidR="00DC6D96" w:rsidRPr="00A020FA" w:rsidRDefault="00DC6D96" w:rsidP="00DC6D96">
      <w:pPr>
        <w:pStyle w:val="BodyText"/>
      </w:pPr>
      <w:bookmarkStart w:id="16" w:name="_Hlk85533204"/>
      <w:r w:rsidRPr="00311114">
        <w:t>Tasmania’s Climate Change Action Plan 2017-2021 (Climate Action 21) sets the Tasmanian Government’s agenda for action on climate change</w:t>
      </w:r>
      <w:r w:rsidR="00B02928">
        <w:t>,</w:t>
      </w:r>
      <w:r w:rsidRPr="00311114">
        <w:t xml:space="preserve"> </w:t>
      </w:r>
      <w:r w:rsidR="00B02928">
        <w:t xml:space="preserve">and </w:t>
      </w:r>
      <w:r>
        <w:t xml:space="preserve">the next action plan is </w:t>
      </w:r>
      <w:r w:rsidRPr="00A020FA">
        <w:t xml:space="preserve">currently under development. It reflects the Government’s commitment to address the critical issues of climate change and articulates how Tasmania will play its role in the global response to climate change. </w:t>
      </w:r>
    </w:p>
    <w:p w14:paraId="23D4C13E" w14:textId="5D84270C" w:rsidR="00A26419" w:rsidRDefault="00DC6D96" w:rsidP="00A26419">
      <w:pPr>
        <w:pStyle w:val="BodyText"/>
      </w:pPr>
      <w:r w:rsidRPr="00A020FA">
        <w:t xml:space="preserve">The Government </w:t>
      </w:r>
      <w:r w:rsidR="002B0D33">
        <w:t>has recently announced its intention</w:t>
      </w:r>
      <w:r w:rsidR="002B0D33" w:rsidRPr="002B0D33">
        <w:t xml:space="preserve"> to legislate a target of net zero emissions from 2030</w:t>
      </w:r>
      <w:r w:rsidR="002B0D33" w:rsidRPr="00172A9E">
        <w:t xml:space="preserve">. </w:t>
      </w:r>
      <w:r w:rsidR="00172A9E" w:rsidRPr="00172A9E">
        <w:t>The target was recommended as part of the Independent Review of the Climate Change (State Action) Act 2008 and supported by Tasmania’s Emissions Pathway Review and a detailed economic analysis of the impact on jobs, industry, and growth.</w:t>
      </w:r>
      <w:r w:rsidR="00172A9E">
        <w:t xml:space="preserve"> </w:t>
      </w:r>
      <w:r w:rsidRPr="003F5F32">
        <w:footnoteReference w:id="1"/>
      </w:r>
      <w:r w:rsidR="00172A9E">
        <w:t xml:space="preserve"> </w:t>
      </w:r>
      <w:r w:rsidR="00172A9E" w:rsidRPr="002B0D33">
        <w:t>This target will be nation-leading and one of the most ambitious in the world.</w:t>
      </w:r>
    </w:p>
    <w:bookmarkEnd w:id="15"/>
    <w:bookmarkEnd w:id="16"/>
    <w:p w14:paraId="1891E184" w14:textId="77777777" w:rsidR="003F5F32" w:rsidRPr="003F5F32" w:rsidRDefault="003F5F32" w:rsidP="003F5F32">
      <w:pPr>
        <w:pStyle w:val="BodyText"/>
      </w:pPr>
      <w:r w:rsidRPr="003F5F32">
        <w:t xml:space="preserve">To support business, </w:t>
      </w:r>
      <w:proofErr w:type="gramStart"/>
      <w:r w:rsidRPr="003F5F32">
        <w:t>industry</w:t>
      </w:r>
      <w:proofErr w:type="gramEnd"/>
      <w:r w:rsidRPr="003F5F32">
        <w:t xml:space="preserve"> and the community to transition to a low emissions economy, the Tasmanian Government has also committed to establish a legislative framework for the development of Emissions Reduction and Resilience Plans for key industry sectors. This work will be developed in partnership with industry to ensure a practical and balanced approach to sector-based planning for a low emissions future.</w:t>
      </w:r>
    </w:p>
    <w:p w14:paraId="262D70B7" w14:textId="68BF93B1" w:rsidR="00DC6D96" w:rsidRPr="0059642C" w:rsidRDefault="00DC6D96" w:rsidP="00DC6D96">
      <w:pPr>
        <w:pStyle w:val="Headling2RT"/>
      </w:pPr>
      <w:bookmarkStart w:id="17" w:name="_Toc86219859"/>
      <w:r w:rsidRPr="0059642C">
        <w:t>Tasmania’s Renewable Energy Coordination Framework</w:t>
      </w:r>
      <w:bookmarkEnd w:id="17"/>
    </w:p>
    <w:p w14:paraId="3849D5CD" w14:textId="77777777" w:rsidR="00DC6D96" w:rsidRDefault="00DC6D96" w:rsidP="00DC6D96">
      <w:pPr>
        <w:pStyle w:val="BodyText"/>
      </w:pPr>
      <w:r>
        <w:t>In early 2021, the Government published for consultation its Renewable Energy Coordination Framework (the Framework) which sets out the actions to support the renewable energy growth required to achieve our TRET. Central to the Framework is ensuring that the benefits from renewable energy projects, such as jobs and investment, are maximised for local communities.</w:t>
      </w:r>
    </w:p>
    <w:p w14:paraId="039BF198" w14:textId="77777777" w:rsidR="00DC6D96" w:rsidRDefault="00DC6D96" w:rsidP="00DC6D96">
      <w:pPr>
        <w:pStyle w:val="BodyText"/>
      </w:pPr>
      <w:r>
        <w:t xml:space="preserve">The final Framework is being progressed. </w:t>
      </w:r>
    </w:p>
    <w:p w14:paraId="108FF8B6" w14:textId="77777777" w:rsidR="00DC6D96" w:rsidRPr="005D56CF" w:rsidRDefault="00DC6D96" w:rsidP="00DC6D96">
      <w:pPr>
        <w:pStyle w:val="BodyText"/>
      </w:pPr>
    </w:p>
    <w:p w14:paraId="7E452333" w14:textId="77777777" w:rsidR="00DC6D96" w:rsidRDefault="00DC6D96" w:rsidP="00DC6D96">
      <w:pPr>
        <w:rPr>
          <w:rFonts w:asciiTheme="majorHAnsi" w:eastAsiaTheme="majorEastAsia" w:hAnsiTheme="majorHAnsi" w:cstheme="majorBidi"/>
          <w:color w:val="2F5496" w:themeColor="accent1" w:themeShade="BF"/>
          <w:sz w:val="32"/>
          <w:szCs w:val="32"/>
        </w:rPr>
      </w:pPr>
      <w:r>
        <w:br w:type="page"/>
      </w:r>
    </w:p>
    <w:p w14:paraId="3D644780" w14:textId="77777777" w:rsidR="00DC6D96" w:rsidRDefault="00DC6D96" w:rsidP="00DC6D96">
      <w:pPr>
        <w:pStyle w:val="Heading1RT"/>
      </w:pPr>
      <w:bookmarkStart w:id="18" w:name="_Toc86219860"/>
      <w:r>
        <w:lastRenderedPageBreak/>
        <w:t>Gas in Tasmania</w:t>
      </w:r>
      <w:bookmarkEnd w:id="18"/>
      <w:r>
        <w:t xml:space="preserve"> </w:t>
      </w:r>
    </w:p>
    <w:p w14:paraId="4B17C999" w14:textId="77777777" w:rsidR="00DC6D96" w:rsidRDefault="00DC6D96" w:rsidP="00DC6D96">
      <w:pPr>
        <w:pStyle w:val="Headling2RT"/>
      </w:pPr>
      <w:bookmarkStart w:id="19" w:name="_Toc86219861"/>
      <w:r>
        <w:t>The Tasmanian Natural Gas Network</w:t>
      </w:r>
      <w:bookmarkEnd w:id="19"/>
      <w:r>
        <w:t xml:space="preserve"> </w:t>
      </w:r>
    </w:p>
    <w:p w14:paraId="6A9DD316" w14:textId="77777777" w:rsidR="00DC6D96" w:rsidRPr="0059642C" w:rsidRDefault="00DC6D96" w:rsidP="00DC6D96">
      <w:pPr>
        <w:rPr>
          <w:sz w:val="22"/>
          <w:szCs w:val="22"/>
        </w:rPr>
      </w:pPr>
      <w:r w:rsidRPr="0059642C">
        <w:rPr>
          <w:sz w:val="22"/>
          <w:szCs w:val="22"/>
        </w:rPr>
        <w:t xml:space="preserve">Since 2003, natural gas has been supplied to Tasmania through an underwater pipeline from Victoria.  </w:t>
      </w:r>
    </w:p>
    <w:p w14:paraId="43B7F165" w14:textId="77777777" w:rsidR="00DC6D96" w:rsidRPr="0059642C" w:rsidRDefault="00DC6D96" w:rsidP="00DC6D96">
      <w:pPr>
        <w:rPr>
          <w:sz w:val="22"/>
          <w:szCs w:val="22"/>
        </w:rPr>
      </w:pPr>
    </w:p>
    <w:p w14:paraId="02B499F2" w14:textId="77777777" w:rsidR="00DC6D96" w:rsidRPr="0059642C" w:rsidRDefault="00DC6D96" w:rsidP="00DC6D96">
      <w:pPr>
        <w:rPr>
          <w:sz w:val="22"/>
          <w:szCs w:val="22"/>
        </w:rPr>
      </w:pPr>
      <w:r w:rsidRPr="0059642C">
        <w:rPr>
          <w:sz w:val="22"/>
          <w:szCs w:val="22"/>
        </w:rPr>
        <w:t xml:space="preserve">The Tasmanian Gas Pipeline (TGP) is the only transmission pipeline operating and transporting gas to Tasmania. The pipeline runs from Longford in Victoria to Five Mile Bluff (near Bell Bay), then west to Port Latta and south to Bridgewater. </w:t>
      </w:r>
    </w:p>
    <w:p w14:paraId="65827BC1" w14:textId="77777777" w:rsidR="00DC6D96" w:rsidRPr="0059642C" w:rsidRDefault="00DC6D96" w:rsidP="00DC6D96">
      <w:pPr>
        <w:rPr>
          <w:sz w:val="22"/>
          <w:szCs w:val="22"/>
        </w:rPr>
      </w:pPr>
    </w:p>
    <w:p w14:paraId="59D286B6" w14:textId="77777777" w:rsidR="00DC6D96" w:rsidRPr="0059642C" w:rsidRDefault="00DC6D96" w:rsidP="00DC6D96">
      <w:pPr>
        <w:rPr>
          <w:sz w:val="22"/>
          <w:szCs w:val="22"/>
        </w:rPr>
      </w:pPr>
      <w:r w:rsidRPr="0059642C">
        <w:rPr>
          <w:sz w:val="22"/>
          <w:szCs w:val="22"/>
        </w:rPr>
        <w:t>Some major industrial customers are supplied directly from the transmission pipeline, with smaller industrial customers and commercial and residential customers being supplied via the distribution network.</w:t>
      </w:r>
    </w:p>
    <w:p w14:paraId="7C86DEA9" w14:textId="77777777" w:rsidR="00DC6D96" w:rsidRPr="0059642C" w:rsidRDefault="00DC6D96" w:rsidP="00DC6D96">
      <w:pPr>
        <w:rPr>
          <w:sz w:val="22"/>
          <w:szCs w:val="22"/>
        </w:rPr>
      </w:pPr>
    </w:p>
    <w:p w14:paraId="5D1904D6" w14:textId="77777777" w:rsidR="00DC6D96" w:rsidRPr="0059642C" w:rsidRDefault="00DC6D96" w:rsidP="00DC6D96">
      <w:pPr>
        <w:pStyle w:val="BodyText"/>
      </w:pPr>
      <w:r w:rsidRPr="0059642C">
        <w:t xml:space="preserve">The distribution network transports gas at lower pressures than the transmission network. It is 840 km in length and delivers around 3.54 PJ per annum of natural gas to approximately 15 000 customers.  </w:t>
      </w:r>
    </w:p>
    <w:p w14:paraId="23DB60EF" w14:textId="77777777" w:rsidR="00DC6D96" w:rsidRPr="0059642C" w:rsidRDefault="00DC6D96" w:rsidP="00DC6D96">
      <w:pPr>
        <w:pStyle w:val="BodyText"/>
      </w:pPr>
      <w:r w:rsidRPr="0059642C">
        <w:t xml:space="preserve">There are four gas retailers in Tasmania licenced to sell natural gas into the gas network: Aurora Energy, Tas Gas Retail, Weston Energy and GloBird Energy. </w:t>
      </w:r>
    </w:p>
    <w:p w14:paraId="32226679" w14:textId="77777777" w:rsidR="00DC6D96" w:rsidRPr="0059642C" w:rsidRDefault="00DC6D96" w:rsidP="00DC6D96">
      <w:pPr>
        <w:pStyle w:val="BodyText"/>
      </w:pPr>
      <w:r w:rsidRPr="0059642C">
        <w:t>The gas supply industry in Tasmania is a fully contestable, and predominantly consists of private market participants.</w:t>
      </w:r>
    </w:p>
    <w:p w14:paraId="6CC20BE4" w14:textId="77777777" w:rsidR="00DC6D96" w:rsidRPr="0059642C" w:rsidRDefault="00DC6D96" w:rsidP="00DC6D96">
      <w:pPr>
        <w:pStyle w:val="BodyText"/>
      </w:pPr>
      <w:r w:rsidRPr="0059642C">
        <w:t>There are currently 501 licenced gas-fitter practitioners in Tasmania (including 39 automotive gas fitters).</w:t>
      </w:r>
    </w:p>
    <w:p w14:paraId="6B4F2528" w14:textId="77777777" w:rsidR="00DC6D96" w:rsidRDefault="00DC6D96" w:rsidP="00DC6D96">
      <w:pPr>
        <w:pStyle w:val="Headling2RT"/>
      </w:pPr>
      <w:bookmarkStart w:id="20" w:name="_Toc86219862"/>
      <w:r>
        <w:t>Bottled gas in Tasmania</w:t>
      </w:r>
      <w:bookmarkEnd w:id="20"/>
    </w:p>
    <w:p w14:paraId="56516F22" w14:textId="77777777" w:rsidR="00DC6D96" w:rsidRDefault="00DC6D96" w:rsidP="00DC6D96">
      <w:pPr>
        <w:rPr>
          <w:sz w:val="22"/>
          <w:szCs w:val="22"/>
        </w:rPr>
      </w:pPr>
      <w:r w:rsidRPr="00271D64">
        <w:rPr>
          <w:sz w:val="22"/>
          <w:szCs w:val="22"/>
        </w:rPr>
        <w:t xml:space="preserve">There are some areas of Tasmania that are not connected to the main gas network and instead use Liquid Petroleum Gas (LPG), Liquified Natural Gas (LNG) or Compressed Natural Gas (CNG) supplied in bottles or cylinders. </w:t>
      </w:r>
    </w:p>
    <w:p w14:paraId="0D215215" w14:textId="77777777" w:rsidR="00DC6D96" w:rsidRPr="00271D64" w:rsidRDefault="00DC6D96" w:rsidP="00DC6D96">
      <w:pPr>
        <w:rPr>
          <w:sz w:val="22"/>
          <w:szCs w:val="22"/>
        </w:rPr>
      </w:pPr>
    </w:p>
    <w:p w14:paraId="5256A43A" w14:textId="77777777" w:rsidR="00DC6D96" w:rsidRPr="00271D64" w:rsidRDefault="00DC6D96" w:rsidP="00DC6D96">
      <w:pPr>
        <w:rPr>
          <w:sz w:val="22"/>
          <w:szCs w:val="22"/>
        </w:rPr>
      </w:pPr>
      <w:r w:rsidRPr="00271D64">
        <w:rPr>
          <w:sz w:val="22"/>
          <w:szCs w:val="22"/>
        </w:rPr>
        <w:t>Tasmania has an LNG plant at Westbury that currently supplies natural gas fuel to a range of customers across several industries including agriculture and transport. The plant takes natural gas from the TGP, which is processed and then liquefied to be stored in tanks and transported to road tankers for distribution around Tasmania.</w:t>
      </w:r>
    </w:p>
    <w:p w14:paraId="60E7328A" w14:textId="77777777" w:rsidR="00DC6D96" w:rsidRPr="00271D64" w:rsidRDefault="00DC6D96" w:rsidP="00DC6D96">
      <w:pPr>
        <w:rPr>
          <w:sz w:val="22"/>
          <w:szCs w:val="22"/>
        </w:rPr>
      </w:pPr>
    </w:p>
    <w:p w14:paraId="208AC06F" w14:textId="77777777" w:rsidR="00DC6D96" w:rsidRPr="00271D64" w:rsidRDefault="00DC6D96" w:rsidP="00DC6D96">
      <w:pPr>
        <w:rPr>
          <w:sz w:val="22"/>
          <w:szCs w:val="22"/>
          <w:lang w:eastAsia="en-AU"/>
        </w:rPr>
      </w:pPr>
      <w:r w:rsidRPr="00271D64">
        <w:rPr>
          <w:sz w:val="22"/>
          <w:szCs w:val="22"/>
          <w:lang w:eastAsia="en-AU"/>
        </w:rPr>
        <w:t>LPG is a combination of flammable hydrocarbon gases, primarily butane and propane. This gas becomes liquefied when it is pressurised and is then transported in tanks or large cylinders.</w:t>
      </w:r>
    </w:p>
    <w:p w14:paraId="0605362C" w14:textId="77777777" w:rsidR="00DC6D96" w:rsidRPr="00271D64" w:rsidRDefault="00DC6D96" w:rsidP="00DC6D96">
      <w:pPr>
        <w:rPr>
          <w:sz w:val="22"/>
          <w:szCs w:val="22"/>
          <w:lang w:eastAsia="en-AU"/>
        </w:rPr>
      </w:pPr>
    </w:p>
    <w:p w14:paraId="10FBF347" w14:textId="77777777" w:rsidR="00DC6D96" w:rsidRPr="00271D64" w:rsidRDefault="00DC6D96" w:rsidP="00DC6D96">
      <w:pPr>
        <w:rPr>
          <w:sz w:val="22"/>
          <w:szCs w:val="22"/>
          <w:lang w:eastAsia="en-AU"/>
        </w:rPr>
      </w:pPr>
      <w:r w:rsidRPr="00271D64">
        <w:rPr>
          <w:sz w:val="22"/>
          <w:szCs w:val="22"/>
          <w:lang w:eastAsia="en-AU"/>
        </w:rPr>
        <w:t>LPG is imported into Tasmania via sea transport and to households and businesses via road transport around Tasmania.</w:t>
      </w:r>
    </w:p>
    <w:p w14:paraId="2CB0B499" w14:textId="77777777" w:rsidR="00DC6D96" w:rsidRPr="00271D64" w:rsidRDefault="00DC6D96" w:rsidP="00DC6D96">
      <w:pPr>
        <w:rPr>
          <w:sz w:val="22"/>
          <w:szCs w:val="22"/>
          <w:lang w:eastAsia="en-AU"/>
        </w:rPr>
      </w:pPr>
    </w:p>
    <w:p w14:paraId="120D2834" w14:textId="77777777" w:rsidR="00DC6D96" w:rsidRPr="00271D64" w:rsidRDefault="00DC6D96" w:rsidP="00DC6D96">
      <w:pPr>
        <w:rPr>
          <w:sz w:val="22"/>
          <w:szCs w:val="22"/>
        </w:rPr>
      </w:pPr>
      <w:r w:rsidRPr="00271D64">
        <w:rPr>
          <w:sz w:val="22"/>
          <w:szCs w:val="22"/>
        </w:rPr>
        <w:t>LPG and LNG are used for similar purposes, but natural gas is comprised mostly of methane, while LPG is predominately butane and propane.</w:t>
      </w:r>
    </w:p>
    <w:p w14:paraId="1DCC0578" w14:textId="77777777" w:rsidR="00DC6D96" w:rsidRPr="00271D64" w:rsidRDefault="00DC6D96" w:rsidP="00DC6D96">
      <w:pPr>
        <w:rPr>
          <w:sz w:val="22"/>
          <w:szCs w:val="22"/>
        </w:rPr>
      </w:pPr>
    </w:p>
    <w:p w14:paraId="36FA9760" w14:textId="77777777" w:rsidR="00DC6D96" w:rsidRPr="00271D64" w:rsidRDefault="00DC6D96" w:rsidP="00DC6D96">
      <w:pPr>
        <w:pStyle w:val="BodyText"/>
      </w:pPr>
      <w:r w:rsidRPr="00271D64">
        <w:t xml:space="preserve">The price of LPG can vary and is dependent on the global market supply and exchange rates. </w:t>
      </w:r>
    </w:p>
    <w:p w14:paraId="468DFBFE" w14:textId="77777777" w:rsidR="00DC6D96" w:rsidRDefault="00DC6D96" w:rsidP="00DC6D96">
      <w:pPr>
        <w:rPr>
          <w:sz w:val="22"/>
          <w:szCs w:val="22"/>
        </w:rPr>
      </w:pPr>
      <w:r>
        <w:br w:type="page"/>
      </w:r>
    </w:p>
    <w:p w14:paraId="50090901" w14:textId="77777777" w:rsidR="00DC6D96" w:rsidRDefault="00DC6D96" w:rsidP="00DC6D96">
      <w:pPr>
        <w:pStyle w:val="Headling2RT"/>
      </w:pPr>
      <w:bookmarkStart w:id="21" w:name="_Toc86219863"/>
      <w:r>
        <w:lastRenderedPageBreak/>
        <w:t>Who uses gas and for what?</w:t>
      </w:r>
      <w:bookmarkEnd w:id="21"/>
    </w:p>
    <w:p w14:paraId="05AB3B04" w14:textId="77777777" w:rsidR="00DC6D96" w:rsidRPr="001D4AEB" w:rsidRDefault="00DC6D96" w:rsidP="00DC6D96">
      <w:pPr>
        <w:rPr>
          <w:sz w:val="22"/>
          <w:szCs w:val="22"/>
        </w:rPr>
      </w:pPr>
      <w:r w:rsidRPr="001D4AEB">
        <w:rPr>
          <w:sz w:val="22"/>
          <w:szCs w:val="22"/>
        </w:rPr>
        <w:t>Gas consumption in Tasmania is very low compared to electricity consumption, accounting for only nine per cent of Tasmanian energy consumption.</w:t>
      </w:r>
    </w:p>
    <w:p w14:paraId="1503BF27" w14:textId="77777777" w:rsidR="00DC6D96" w:rsidRDefault="00DC6D96" w:rsidP="00DC6D96"/>
    <w:p w14:paraId="4BC90592" w14:textId="77777777" w:rsidR="00DC6D96" w:rsidRPr="003B55A8" w:rsidRDefault="00DC6D96" w:rsidP="00DC6D96">
      <w:pPr>
        <w:pStyle w:val="NoSpacing"/>
        <w:keepNext/>
        <w:rPr>
          <w:rStyle w:val="BodytextBold"/>
        </w:rPr>
      </w:pPr>
      <w:r w:rsidRPr="003B55A8">
        <w:rPr>
          <w:rStyle w:val="BodytextBold"/>
        </w:rPr>
        <w:t>Figure 1: Share of primary energy consumption in Tasmania by Fuel, 2018-19</w:t>
      </w:r>
    </w:p>
    <w:p w14:paraId="79E79A09" w14:textId="77777777" w:rsidR="00DC6D96" w:rsidRDefault="00DC6D96" w:rsidP="00DC6D96">
      <w:pPr>
        <w:pStyle w:val="NoSpacing"/>
      </w:pPr>
      <w:r>
        <w:rPr>
          <w:noProof/>
        </w:rPr>
        <w:drawing>
          <wp:inline distT="0" distB="0" distL="0" distR="0" wp14:anchorId="3979BD1A" wp14:editId="0E585D33">
            <wp:extent cx="5572125" cy="2743200"/>
            <wp:effectExtent l="0" t="0" r="0" b="0"/>
            <wp:docPr id="1" name="Chart 1">
              <a:extLst xmlns:a="http://schemas.openxmlformats.org/drawingml/2006/main">
                <a:ext uri="{FF2B5EF4-FFF2-40B4-BE49-F238E27FC236}">
                  <a16:creationId xmlns:a16="http://schemas.microsoft.com/office/drawing/2014/main" id="{254F133D-974E-481C-9329-E3A6B6961F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50D4FF8" w14:textId="77777777" w:rsidR="00DC6D96" w:rsidRPr="0046319E" w:rsidRDefault="00DC6D96" w:rsidP="00DC6D96">
      <w:pPr>
        <w:pStyle w:val="NoSpacing"/>
        <w:rPr>
          <w:sz w:val="20"/>
          <w:szCs w:val="20"/>
        </w:rPr>
      </w:pPr>
      <w:r w:rsidRPr="0046319E">
        <w:rPr>
          <w:sz w:val="20"/>
          <w:szCs w:val="20"/>
        </w:rPr>
        <w:t xml:space="preserve">Source: </w:t>
      </w:r>
      <w:bookmarkStart w:id="22" w:name="_Hlk78275427"/>
      <w:r w:rsidRPr="0046319E">
        <w:rPr>
          <w:sz w:val="20"/>
          <w:szCs w:val="20"/>
        </w:rPr>
        <w:t xml:space="preserve">Department of Industry, Science, Energy and Resources, 2020, </w:t>
      </w:r>
      <w:r w:rsidRPr="0046319E">
        <w:rPr>
          <w:i/>
          <w:iCs/>
          <w:sz w:val="20"/>
          <w:szCs w:val="20"/>
        </w:rPr>
        <w:t xml:space="preserve">Australian Energy Statistics, </w:t>
      </w:r>
      <w:r w:rsidRPr="0046319E">
        <w:rPr>
          <w:sz w:val="20"/>
          <w:szCs w:val="20"/>
        </w:rPr>
        <w:t>Table C</w:t>
      </w:r>
    </w:p>
    <w:bookmarkEnd w:id="22"/>
    <w:p w14:paraId="2AC1AAF2" w14:textId="77777777" w:rsidR="00DC6D96" w:rsidRDefault="00DC6D96" w:rsidP="00DC6D96"/>
    <w:p w14:paraId="62C7D530" w14:textId="77777777" w:rsidR="00DC6D96" w:rsidRPr="001D4AEB" w:rsidRDefault="00DC6D96" w:rsidP="00DC6D96">
      <w:pPr>
        <w:rPr>
          <w:sz w:val="22"/>
          <w:szCs w:val="22"/>
        </w:rPr>
      </w:pPr>
      <w:r w:rsidRPr="001D4AEB">
        <w:rPr>
          <w:sz w:val="22"/>
          <w:szCs w:val="22"/>
        </w:rPr>
        <w:t>There are around 15 000 natural gas customers in Tasmania.</w:t>
      </w:r>
    </w:p>
    <w:p w14:paraId="274A7306" w14:textId="77777777" w:rsidR="00DC6D96" w:rsidRDefault="00DC6D96" w:rsidP="00DC6D96"/>
    <w:p w14:paraId="6E2B65D3" w14:textId="77777777" w:rsidR="00DC6D96" w:rsidRPr="00271D64" w:rsidRDefault="00DC6D96" w:rsidP="00DC6D96">
      <w:pPr>
        <w:rPr>
          <w:sz w:val="22"/>
          <w:szCs w:val="22"/>
        </w:rPr>
      </w:pPr>
      <w:r w:rsidRPr="00271D64">
        <w:rPr>
          <w:sz w:val="22"/>
          <w:szCs w:val="22"/>
        </w:rPr>
        <w:t xml:space="preserve">Despite the comparatively small size of the sector, natural gas plays an important role in Tasmania’s energy mix. Tasmanian homes and businesses use natural gas for heating, hot water and cooking; major industries rely on it across a range of sectors such as manufacturing, mining, and agriculture; and from time to time, it has an important role in electricity generation. In developing the Strategy, the Government will be considering the interests of all these gas users and working to address their key concerns and challenges. </w:t>
      </w:r>
    </w:p>
    <w:p w14:paraId="11EE35C8" w14:textId="77777777" w:rsidR="00DC6D96" w:rsidRPr="00271D64" w:rsidRDefault="00DC6D96" w:rsidP="00DC6D96">
      <w:pPr>
        <w:rPr>
          <w:sz w:val="22"/>
          <w:szCs w:val="22"/>
        </w:rPr>
      </w:pPr>
    </w:p>
    <w:p w14:paraId="7A92034F" w14:textId="77777777" w:rsidR="00DC6D96" w:rsidRPr="0046319E" w:rsidRDefault="00DC6D96" w:rsidP="00DC6D96">
      <w:pPr>
        <w:pStyle w:val="NoSpacing"/>
        <w:keepNext/>
        <w:rPr>
          <w:rStyle w:val="BodytextBold"/>
        </w:rPr>
      </w:pPr>
      <w:r w:rsidRPr="0046319E">
        <w:rPr>
          <w:rStyle w:val="BodytextBold"/>
        </w:rPr>
        <w:lastRenderedPageBreak/>
        <w:t>Figure 2: Industry share of total gas use (LPG and natural gas) in Tasmania, 2018-19</w:t>
      </w:r>
    </w:p>
    <w:p w14:paraId="4E95DCBE" w14:textId="77777777" w:rsidR="00DC6D96" w:rsidRDefault="00DC6D96" w:rsidP="00DC6D96">
      <w:pPr>
        <w:rPr>
          <w:noProof/>
        </w:rPr>
      </w:pPr>
      <w:r>
        <w:rPr>
          <w:noProof/>
        </w:rPr>
        <mc:AlternateContent>
          <mc:Choice Requires="wps">
            <w:drawing>
              <wp:anchor distT="0" distB="0" distL="114300" distR="114300" simplePos="0" relativeHeight="251665408" behindDoc="0" locked="0" layoutInCell="1" allowOverlap="1" wp14:anchorId="6EFC1D54" wp14:editId="58FE1B5F">
                <wp:simplePos x="0" y="0"/>
                <wp:positionH relativeFrom="column">
                  <wp:posOffset>2705100</wp:posOffset>
                </wp:positionH>
                <wp:positionV relativeFrom="paragraph">
                  <wp:posOffset>573405</wp:posOffset>
                </wp:positionV>
                <wp:extent cx="19050" cy="2095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9050" cy="209550"/>
                        </a:xfrm>
                        <a:prstGeom prst="line">
                          <a:avLst/>
                        </a:prstGeom>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24E24"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45.15pt" to="214.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" strokecolor="#747070 [1614]"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276CEF18" wp14:editId="191D2E8F">
                <wp:simplePos x="0" y="0"/>
                <wp:positionH relativeFrom="column">
                  <wp:posOffset>2781300</wp:posOffset>
                </wp:positionH>
                <wp:positionV relativeFrom="paragraph">
                  <wp:posOffset>601980</wp:posOffset>
                </wp:positionV>
                <wp:extent cx="457200" cy="171450"/>
                <wp:effectExtent l="0" t="0" r="19050" b="19050"/>
                <wp:wrapNone/>
                <wp:docPr id="11" name="Straight Connector 11"/>
                <wp:cNvGraphicFramePr/>
                <a:graphic xmlns:a="http://schemas.openxmlformats.org/drawingml/2006/main">
                  <a:graphicData uri="http://schemas.microsoft.com/office/word/2010/wordprocessingShape">
                    <wps:wsp>
                      <wps:cNvCnPr/>
                      <wps:spPr>
                        <a:xfrm flipH="1">
                          <a:off x="0" y="0"/>
                          <a:ext cx="457200" cy="171450"/>
                        </a:xfrm>
                        <a:prstGeom prst="line">
                          <a:avLst/>
                        </a:prstGeom>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CA4E6" id="Straight Connector 1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47.4pt" to="25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" strokecolor="#747070 [1614]"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0F8FD854" wp14:editId="1C6AC0B8">
                <wp:simplePos x="0" y="0"/>
                <wp:positionH relativeFrom="column">
                  <wp:posOffset>2085975</wp:posOffset>
                </wp:positionH>
                <wp:positionV relativeFrom="paragraph">
                  <wp:posOffset>525781</wp:posOffset>
                </wp:positionV>
                <wp:extent cx="523875" cy="26670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23875" cy="266700"/>
                        </a:xfrm>
                        <a:prstGeom prst="line">
                          <a:avLst/>
                        </a:prstGeom>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DB714"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25pt,41.4pt" to="205.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" strokecolor="#747070 [1614]" strokeweight=".5pt">
                <v:stroke joinstyle="miter"/>
              </v:line>
            </w:pict>
          </mc:Fallback>
        </mc:AlternateContent>
      </w:r>
      <w:r>
        <w:rPr>
          <w:noProof/>
        </w:rPr>
        <w:drawing>
          <wp:inline distT="0" distB="0" distL="0" distR="0" wp14:anchorId="46702125" wp14:editId="56B45B29">
            <wp:extent cx="5629275" cy="3290570"/>
            <wp:effectExtent l="0" t="0" r="0" b="5080"/>
            <wp:docPr id="6" name="Chart 6">
              <a:extLst xmlns:a="http://schemas.openxmlformats.org/drawingml/2006/main">
                <a:ext uri="{FF2B5EF4-FFF2-40B4-BE49-F238E27FC236}">
                  <a16:creationId xmlns:a16="http://schemas.microsoft.com/office/drawing/2014/main" id="{E410E716-5513-440B-90A9-283E116F0D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42465A" w14:textId="77777777" w:rsidR="00DC6D96" w:rsidRPr="0046319E" w:rsidRDefault="00DC6D96" w:rsidP="00DC6D96">
      <w:pPr>
        <w:pStyle w:val="NoSpacing"/>
        <w:rPr>
          <w:sz w:val="20"/>
          <w:szCs w:val="20"/>
        </w:rPr>
      </w:pPr>
      <w:r w:rsidRPr="0046319E">
        <w:rPr>
          <w:sz w:val="20"/>
          <w:szCs w:val="20"/>
        </w:rPr>
        <w:t>Source: Department of Industry, Science, Energy and Resources, 2020, Australian Energy Statistics, Table F and Department of State Growth calculations.</w:t>
      </w:r>
    </w:p>
    <w:p w14:paraId="1791E907" w14:textId="092C27D9" w:rsidR="00DC6D96" w:rsidRPr="0046319E" w:rsidRDefault="00DC6D96" w:rsidP="00DC6D96">
      <w:pPr>
        <w:pStyle w:val="NoSpacing"/>
        <w:rPr>
          <w:sz w:val="20"/>
          <w:szCs w:val="20"/>
        </w:rPr>
      </w:pPr>
      <w:r w:rsidRPr="0046319E">
        <w:rPr>
          <w:sz w:val="20"/>
          <w:szCs w:val="20"/>
        </w:rPr>
        <w:t>Note: Most recent available figures are from 2018-19. The use of natural gas for electricity generation has declined over the last two financial years (refer to Figure 4).</w:t>
      </w:r>
    </w:p>
    <w:p w14:paraId="53A56E75" w14:textId="77777777" w:rsidR="00DC6D96" w:rsidRDefault="00DC6D96" w:rsidP="00DC6D96">
      <w:pPr>
        <w:pStyle w:val="NoSpacing"/>
      </w:pPr>
    </w:p>
    <w:p w14:paraId="0C8B7232" w14:textId="77777777" w:rsidR="00DC6D96" w:rsidRDefault="00DC6D96" w:rsidP="00DC6D96">
      <w:pPr>
        <w:pStyle w:val="Headling2RT"/>
      </w:pPr>
      <w:bookmarkStart w:id="23" w:name="_Toc86219864"/>
      <w:r>
        <w:t>Households</w:t>
      </w:r>
      <w:bookmarkEnd w:id="23"/>
    </w:p>
    <w:p w14:paraId="5CA8AD06" w14:textId="77777777" w:rsidR="00DC6D96" w:rsidRPr="0059642C" w:rsidRDefault="00DC6D96" w:rsidP="00DC6D96">
      <w:pPr>
        <w:pStyle w:val="BodyText"/>
      </w:pPr>
      <w:r w:rsidRPr="0059642C">
        <w:t xml:space="preserve">Tasmania’s first residential natural gas consumer was connected on 27 August 2004 and since then, approximately 13 500 residential customers have connected to the natural gas network. </w:t>
      </w:r>
    </w:p>
    <w:p w14:paraId="4E02963F" w14:textId="77777777" w:rsidR="00DC6D96" w:rsidRPr="0059642C" w:rsidRDefault="00DC6D96" w:rsidP="00DC6D96">
      <w:pPr>
        <w:pStyle w:val="BodyText"/>
      </w:pPr>
      <w:r w:rsidRPr="0059642C">
        <w:t xml:space="preserve">The Tasmanian natural gas network has limited reach, passing by around </w:t>
      </w:r>
      <w:r w:rsidRPr="0059642C">
        <w:rPr>
          <w:rFonts w:eastAsia="Times New Roman"/>
          <w:lang w:val="en-US"/>
        </w:rPr>
        <w:t xml:space="preserve">60 000 </w:t>
      </w:r>
      <w:r w:rsidRPr="0059642C">
        <w:t xml:space="preserve">premises. </w:t>
      </w:r>
    </w:p>
    <w:p w14:paraId="544ACB46" w14:textId="77777777" w:rsidR="00DC6D96" w:rsidRDefault="00DC6D96" w:rsidP="00DC6D96">
      <w:pPr>
        <w:rPr>
          <w:sz w:val="22"/>
          <w:szCs w:val="22"/>
          <w:lang w:eastAsia="en-AU"/>
        </w:rPr>
      </w:pPr>
      <w:r w:rsidRPr="0059642C">
        <w:rPr>
          <w:sz w:val="22"/>
          <w:szCs w:val="22"/>
        </w:rPr>
        <w:t xml:space="preserve">There is comparatively high residential use of LPG in Tasmania with nine times as much LPG being consumed by households </w:t>
      </w:r>
      <w:r w:rsidRPr="0059642C">
        <w:rPr>
          <w:sz w:val="22"/>
          <w:szCs w:val="22"/>
          <w:lang w:eastAsia="en-AU"/>
        </w:rPr>
        <w:t xml:space="preserve">than natural gas. </w:t>
      </w:r>
    </w:p>
    <w:p w14:paraId="546514D8" w14:textId="77777777" w:rsidR="00DC6D96" w:rsidRPr="0059642C" w:rsidRDefault="00DC6D96" w:rsidP="00DC6D96">
      <w:pPr>
        <w:rPr>
          <w:sz w:val="22"/>
          <w:szCs w:val="22"/>
          <w:lang w:eastAsia="en-AU"/>
        </w:rPr>
      </w:pPr>
    </w:p>
    <w:p w14:paraId="44DD8932" w14:textId="77777777" w:rsidR="00DC6D96" w:rsidRDefault="00DC6D96" w:rsidP="00DC6D96">
      <w:pPr>
        <w:pStyle w:val="BodyText"/>
        <w:rPr>
          <w:lang w:eastAsia="en-AU"/>
        </w:rPr>
      </w:pPr>
      <w:r w:rsidRPr="0059642C">
        <w:t xml:space="preserve">Households commonly use gas for space heating, water heating and cooking. </w:t>
      </w:r>
      <w:r w:rsidRPr="0059642C">
        <w:rPr>
          <w:lang w:eastAsia="en-AU"/>
        </w:rPr>
        <w:t>LPG is also used as a fuel for barbecues and vehicles.</w:t>
      </w:r>
    </w:p>
    <w:p w14:paraId="01E51E22" w14:textId="77777777" w:rsidR="00DC6D96" w:rsidRPr="0059642C" w:rsidRDefault="00DC6D96" w:rsidP="00DC6D96">
      <w:pPr>
        <w:pStyle w:val="BodyText"/>
        <w:rPr>
          <w:lang w:eastAsia="en-AU"/>
        </w:rPr>
      </w:pPr>
    </w:p>
    <w:p w14:paraId="4DC19F18" w14:textId="77777777" w:rsidR="00DC6D96" w:rsidRDefault="00DC6D96" w:rsidP="00DC6D96">
      <w:pPr>
        <w:pStyle w:val="NoSpacing"/>
        <w:keepNext/>
        <w:rPr>
          <w:rStyle w:val="BodytextBold"/>
        </w:rPr>
      </w:pPr>
      <w:r w:rsidRPr="00D37F22">
        <w:rPr>
          <w:rStyle w:val="BodytextBold"/>
        </w:rPr>
        <w:lastRenderedPageBreak/>
        <w:t>Figure 3: How Households Use Natural Gas in Tasmania</w:t>
      </w:r>
    </w:p>
    <w:p w14:paraId="18014406" w14:textId="77777777" w:rsidR="00DC6D96" w:rsidRDefault="00DC6D96" w:rsidP="00DC6D96">
      <w:pPr>
        <w:pStyle w:val="NoSpacing"/>
        <w:rPr>
          <w:rStyle w:val="BodytextBold"/>
        </w:rPr>
      </w:pPr>
      <w:r>
        <w:rPr>
          <w:noProof/>
        </w:rPr>
        <w:drawing>
          <wp:inline distT="0" distB="0" distL="0" distR="0" wp14:anchorId="601A221D" wp14:editId="659B93CA">
            <wp:extent cx="5619750" cy="2743200"/>
            <wp:effectExtent l="0" t="0" r="0" b="0"/>
            <wp:docPr id="12" name="Chart 12">
              <a:extLst xmlns:a="http://schemas.openxmlformats.org/drawingml/2006/main">
                <a:ext uri="{FF2B5EF4-FFF2-40B4-BE49-F238E27FC236}">
                  <a16:creationId xmlns:a16="http://schemas.microsoft.com/office/drawing/2014/main" id="{E1F3B282-1521-45F3-80E4-5DD8EB3020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9B5EAB" w14:textId="77777777" w:rsidR="00DC6D96" w:rsidRPr="00D37F22" w:rsidRDefault="00DC6D96" w:rsidP="00DC6D96">
      <w:pPr>
        <w:pStyle w:val="NoSpacing"/>
        <w:rPr>
          <w:sz w:val="20"/>
          <w:szCs w:val="20"/>
        </w:rPr>
      </w:pPr>
      <w:r w:rsidRPr="00D37F22">
        <w:rPr>
          <w:sz w:val="20"/>
          <w:szCs w:val="20"/>
        </w:rPr>
        <w:t>Source: Grattan Institute, 2020, Flame out: The future of natural gas</w:t>
      </w:r>
    </w:p>
    <w:p w14:paraId="7A8B7A58" w14:textId="77777777" w:rsidR="00DC6D96" w:rsidRDefault="00DC6D96" w:rsidP="00DC6D96">
      <w:pPr>
        <w:pStyle w:val="BodyText"/>
        <w:rPr>
          <w:lang w:eastAsia="en-AU"/>
        </w:rPr>
      </w:pPr>
    </w:p>
    <w:p w14:paraId="53E172F6" w14:textId="77777777" w:rsidR="00DC6D96" w:rsidRDefault="00DC6D96" w:rsidP="00DC6D96">
      <w:pPr>
        <w:pStyle w:val="Headling2RT"/>
      </w:pPr>
      <w:bookmarkStart w:id="24" w:name="_Toc86219865"/>
      <w:r>
        <w:t>Commercial users</w:t>
      </w:r>
      <w:bookmarkEnd w:id="24"/>
    </w:p>
    <w:p w14:paraId="0B041DEA" w14:textId="77777777" w:rsidR="00DC6D96" w:rsidRDefault="00DC6D96" w:rsidP="00DC6D96">
      <w:pPr>
        <w:pStyle w:val="BodyText"/>
      </w:pPr>
      <w:r w:rsidRPr="00FF0F3C">
        <w:t>The first commercial natural gas consumer was connected in May 2004. Approximately</w:t>
      </w:r>
      <w:r>
        <w:t xml:space="preserve"> 1000 </w:t>
      </w:r>
      <w:r w:rsidRPr="00FF0F3C">
        <w:t>commercial and industrial customers</w:t>
      </w:r>
      <w:r>
        <w:t xml:space="preserve"> </w:t>
      </w:r>
      <w:r w:rsidRPr="00FF0F3C">
        <w:t>are estimated to be connected to the natural gas network.</w:t>
      </w:r>
    </w:p>
    <w:p w14:paraId="37FC459E" w14:textId="77777777" w:rsidR="00DC6D96" w:rsidRDefault="00DC6D96" w:rsidP="00DC6D96">
      <w:pPr>
        <w:pStyle w:val="BodyText"/>
      </w:pPr>
      <w:r>
        <w:t xml:space="preserve">The </w:t>
      </w:r>
      <w:r w:rsidRPr="00714217">
        <w:t xml:space="preserve">commercial sector includes </w:t>
      </w:r>
      <w:r>
        <w:t xml:space="preserve">premises such as hospitals, accommodation, schools, office buildings, </w:t>
      </w:r>
      <w:r w:rsidRPr="00714217">
        <w:t xml:space="preserve">hotels, restaurants, </w:t>
      </w:r>
      <w:r>
        <w:t xml:space="preserve">laundromats </w:t>
      </w:r>
      <w:r w:rsidRPr="00714217">
        <w:t>and government buildings</w:t>
      </w:r>
      <w:r>
        <w:t>. Similar to households, the main uses of gas by c</w:t>
      </w:r>
      <w:r w:rsidRPr="00714217">
        <w:t>ommercial use</w:t>
      </w:r>
      <w:r>
        <w:t>r</w:t>
      </w:r>
      <w:r w:rsidRPr="00714217">
        <w:t xml:space="preserve">s </w:t>
      </w:r>
      <w:r>
        <w:t>include space heating, water heating, cooking and cooling. Gas b</w:t>
      </w:r>
      <w:r w:rsidRPr="0098747D">
        <w:t xml:space="preserve">oilers </w:t>
      </w:r>
      <w:r>
        <w:t xml:space="preserve">are often used to heat large premises. </w:t>
      </w:r>
    </w:p>
    <w:p w14:paraId="64078D4C" w14:textId="77777777" w:rsidR="00DC6D96" w:rsidRDefault="00DC6D96" w:rsidP="00DC6D96">
      <w:pPr>
        <w:pStyle w:val="BodyText"/>
      </w:pPr>
      <w:r>
        <w:t xml:space="preserve">Marine use of LNG is a potential area of growth for natural gas use in Tasmania. In early 2021, the </w:t>
      </w:r>
      <w:r w:rsidRPr="00C73154">
        <w:t xml:space="preserve">Tasmanian Government </w:t>
      </w:r>
      <w:r>
        <w:t xml:space="preserve">contracted with </w:t>
      </w:r>
      <w:r w:rsidRPr="00C73154">
        <w:t xml:space="preserve">Finnish shipbuilder Rauma Marine Constructions </w:t>
      </w:r>
      <w:r>
        <w:t xml:space="preserve">to build two LNG-powered </w:t>
      </w:r>
      <w:r w:rsidRPr="00C73154">
        <w:t>car and passenger ferries for Tasmanian shipping company TT-Line</w:t>
      </w:r>
      <w:r>
        <w:t>. The ferries will replace the Spirit of Tasmania vessels</w:t>
      </w:r>
      <w:r w:rsidRPr="00C73154">
        <w:t>.</w:t>
      </w:r>
    </w:p>
    <w:p w14:paraId="10C480B7" w14:textId="77777777" w:rsidR="00DC6D96" w:rsidRDefault="00DC6D96" w:rsidP="00DC6D96">
      <w:pPr>
        <w:pStyle w:val="Headling2RT"/>
      </w:pPr>
      <w:bookmarkStart w:id="25" w:name="_Toc86219866"/>
      <w:r>
        <w:t>Large industrial users</w:t>
      </w:r>
      <w:bookmarkEnd w:id="25"/>
    </w:p>
    <w:p w14:paraId="5D8AB9BB" w14:textId="77777777" w:rsidR="00DC6D96" w:rsidRDefault="00DC6D96" w:rsidP="00DC6D96">
      <w:pPr>
        <w:pStyle w:val="BodyText"/>
      </w:pPr>
      <w:r>
        <w:t xml:space="preserve">A number of Tasmania's largest industrial customers rely heavily on natural gas. </w:t>
      </w:r>
    </w:p>
    <w:p w14:paraId="2E041F30" w14:textId="77777777" w:rsidR="00DC6D96" w:rsidRDefault="00DC6D96" w:rsidP="00DC6D96">
      <w:pPr>
        <w:pStyle w:val="BodyText"/>
      </w:pPr>
      <w:r w:rsidRPr="004107DE">
        <w:t>Bell Bay Aluminium and Grange Resources are connected directly to the main transmission pipeline. Other major industries such as TEMCO, Boags, Tasmanian Alkaloids, Simplot, Fonterra, Nyrstar, Cascade and Cadburys are connected via the distribution network</w:t>
      </w:r>
      <w:r>
        <w:t xml:space="preserve">. </w:t>
      </w:r>
    </w:p>
    <w:p w14:paraId="6F2D4F9F" w14:textId="77777777" w:rsidR="00DC6D96" w:rsidRPr="001D4AEB" w:rsidRDefault="00DC6D96" w:rsidP="00DC6D96">
      <w:pPr>
        <w:rPr>
          <w:sz w:val="22"/>
          <w:szCs w:val="22"/>
        </w:rPr>
      </w:pPr>
      <w:r w:rsidRPr="001D4AEB">
        <w:rPr>
          <w:sz w:val="22"/>
          <w:szCs w:val="22"/>
        </w:rPr>
        <w:t xml:space="preserve">Many of the major industrial users use gas as a fuel source for heat purposes. Natural gas can also be used as a feedstock for the manufacturing of plastics or other organic chemicals. </w:t>
      </w:r>
    </w:p>
    <w:p w14:paraId="38548923" w14:textId="77777777" w:rsidR="00DC6D96" w:rsidRDefault="00DC6D96" w:rsidP="00DC6D96">
      <w:pPr>
        <w:rPr>
          <w:rFonts w:ascii="Times New Roman" w:eastAsia="Times New Roman" w:hAnsi="Times New Roman" w:cs="Times New Roman"/>
          <w:b/>
          <w:bCs/>
          <w:sz w:val="27"/>
          <w:szCs w:val="27"/>
          <w:lang w:eastAsia="en-AU"/>
        </w:rPr>
      </w:pPr>
      <w:r>
        <w:br w:type="page"/>
      </w:r>
    </w:p>
    <w:p w14:paraId="1E1DDFA7" w14:textId="77777777" w:rsidR="00DC6D96" w:rsidRPr="00AA2095" w:rsidRDefault="00DC6D96" w:rsidP="00DC6D96">
      <w:pPr>
        <w:pStyle w:val="Headling2RT"/>
      </w:pPr>
      <w:bookmarkStart w:id="26" w:name="_Toc86219867"/>
      <w:r>
        <w:lastRenderedPageBreak/>
        <w:t>Gas Powered Electricity Generation</w:t>
      </w:r>
      <w:bookmarkEnd w:id="26"/>
    </w:p>
    <w:p w14:paraId="7B19DEA2" w14:textId="77777777" w:rsidR="00DC6D96" w:rsidRPr="00271D64" w:rsidRDefault="00DC6D96" w:rsidP="00DC6D96">
      <w:pPr>
        <w:rPr>
          <w:sz w:val="22"/>
          <w:szCs w:val="22"/>
        </w:rPr>
      </w:pPr>
      <w:r w:rsidRPr="00271D64">
        <w:rPr>
          <w:sz w:val="22"/>
          <w:szCs w:val="22"/>
        </w:rPr>
        <w:t xml:space="preserve">Gas has played an important role as a back-up source of energy for power generation in Tasmania.  The Tamar Valley Power Station (TVPS) is the largest single gas consumer in Tasmania when in operation. AETV, a subsidiary of Hydro Tasmania, operates the TVPS. It consists of a combined cycle gas turbine (CCGT) and four open cycle gas turbine units (OCGT) with a combined generating capacity of 372 MW. </w:t>
      </w:r>
    </w:p>
    <w:p w14:paraId="2A7EEC4E" w14:textId="77777777" w:rsidR="00DC6D96" w:rsidRPr="00271D64" w:rsidRDefault="00DC6D96" w:rsidP="00DC6D96">
      <w:pPr>
        <w:rPr>
          <w:sz w:val="22"/>
          <w:szCs w:val="22"/>
        </w:rPr>
      </w:pPr>
    </w:p>
    <w:p w14:paraId="623C4520" w14:textId="77777777" w:rsidR="00DC6D96" w:rsidRPr="00271D64" w:rsidRDefault="00DC6D96" w:rsidP="00DC6D96">
      <w:pPr>
        <w:rPr>
          <w:sz w:val="22"/>
          <w:szCs w:val="22"/>
        </w:rPr>
      </w:pPr>
      <w:r w:rsidRPr="00271D64">
        <w:rPr>
          <w:sz w:val="22"/>
          <w:szCs w:val="22"/>
        </w:rPr>
        <w:t>Gas fired power generation in Tasmania is highly variable. The variation is dependent on a range of factors including the availability of hydro and wind generation, relative power prices and demand in Tasmania and Victoria, drought and the availability of the Basslink interconnector.</w:t>
      </w:r>
    </w:p>
    <w:p w14:paraId="3D34BFD5" w14:textId="77777777" w:rsidR="00DC6D96" w:rsidRPr="00271D64" w:rsidRDefault="00DC6D96" w:rsidP="00DC6D96">
      <w:pPr>
        <w:rPr>
          <w:sz w:val="22"/>
          <w:szCs w:val="22"/>
        </w:rPr>
      </w:pPr>
    </w:p>
    <w:p w14:paraId="2BB014BD" w14:textId="77777777" w:rsidR="00DC6D96" w:rsidRPr="00271D64" w:rsidRDefault="00DC6D96" w:rsidP="00DC6D96">
      <w:pPr>
        <w:rPr>
          <w:sz w:val="22"/>
          <w:szCs w:val="22"/>
        </w:rPr>
      </w:pPr>
      <w:r w:rsidRPr="00271D64">
        <w:rPr>
          <w:sz w:val="22"/>
          <w:szCs w:val="22"/>
        </w:rPr>
        <w:t>During 2015-16, Tasmania experienced energy security challenges, with the combined impact of two extreme events – record low rainfall during spring, combined with the Basslink interconnector being out of service – resulting in Hydro Tasmania’s water storage levels falling to historically low levels. The operation of the TVPS played an important role in mitigating this risk and allowing energy storage levels to be rebuilt.</w:t>
      </w:r>
    </w:p>
    <w:p w14:paraId="1D185FA5" w14:textId="77777777" w:rsidR="00DC6D96" w:rsidRPr="00271D64" w:rsidRDefault="00DC6D96" w:rsidP="00DC6D96">
      <w:pPr>
        <w:rPr>
          <w:sz w:val="22"/>
          <w:szCs w:val="22"/>
        </w:rPr>
      </w:pPr>
    </w:p>
    <w:p w14:paraId="4B19ED45" w14:textId="77777777" w:rsidR="00DC6D96" w:rsidRPr="00271D64" w:rsidRDefault="00DC6D96" w:rsidP="00DC6D96">
      <w:pPr>
        <w:rPr>
          <w:sz w:val="22"/>
          <w:szCs w:val="22"/>
        </w:rPr>
      </w:pPr>
      <w:r w:rsidRPr="00271D64">
        <w:rPr>
          <w:sz w:val="22"/>
          <w:szCs w:val="22"/>
        </w:rPr>
        <w:t xml:space="preserve">At the 2021 election, the Government reaffirmed its position that it will not sell the Tamar Valley Power Station, given its important role in energy security.  </w:t>
      </w:r>
    </w:p>
    <w:p w14:paraId="3CB04FFA" w14:textId="77777777" w:rsidR="00DC6D96" w:rsidRDefault="00DC6D96" w:rsidP="00DC6D96"/>
    <w:p w14:paraId="52F8F07A" w14:textId="77777777" w:rsidR="00DC6D96" w:rsidRDefault="00DC6D96" w:rsidP="00DC6D96">
      <w:pPr>
        <w:pStyle w:val="NoSpacing"/>
        <w:keepNext/>
        <w:rPr>
          <w:rStyle w:val="BodytextBold"/>
        </w:rPr>
      </w:pPr>
      <w:r>
        <w:rPr>
          <w:rStyle w:val="BodytextBold"/>
        </w:rPr>
        <w:t xml:space="preserve">Figure 4: </w:t>
      </w:r>
      <w:r w:rsidRPr="005D3645">
        <w:rPr>
          <w:rStyle w:val="BodytextBold"/>
        </w:rPr>
        <w:t>Annual Energy Supplied from the Tamar Valley Power Station (GWh)</w:t>
      </w:r>
    </w:p>
    <w:p w14:paraId="332E5D2D" w14:textId="77777777" w:rsidR="00DC6D96" w:rsidRPr="005D3645" w:rsidRDefault="00DC6D96" w:rsidP="00DC6D96">
      <w:pPr>
        <w:pStyle w:val="NoSpacing"/>
        <w:keepNext/>
        <w:rPr>
          <w:rStyle w:val="BodytextBold"/>
        </w:rPr>
      </w:pPr>
    </w:p>
    <w:p w14:paraId="14B94D8F" w14:textId="77777777" w:rsidR="00DC6D96" w:rsidRDefault="00DC6D96" w:rsidP="00DC6D96">
      <w:r>
        <w:rPr>
          <w:noProof/>
        </w:rPr>
        <w:drawing>
          <wp:inline distT="0" distB="0" distL="0" distR="0" wp14:anchorId="1C81A3BF" wp14:editId="3473976D">
            <wp:extent cx="5708650" cy="2743200"/>
            <wp:effectExtent l="0" t="0" r="6350" b="0"/>
            <wp:docPr id="13" name="Chart 13">
              <a:extLst xmlns:a="http://schemas.openxmlformats.org/drawingml/2006/main">
                <a:ext uri="{FF2B5EF4-FFF2-40B4-BE49-F238E27FC236}">
                  <a16:creationId xmlns:a16="http://schemas.microsoft.com/office/drawing/2014/main" id="{29CB1E11-BDAB-4B38-BABC-E9653568CC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E121FF" w14:textId="77777777" w:rsidR="00DC6D96" w:rsidRDefault="00DC6D96" w:rsidP="00DC6D96">
      <w:pPr>
        <w:pStyle w:val="NoSpacing"/>
        <w:rPr>
          <w:sz w:val="20"/>
          <w:szCs w:val="20"/>
        </w:rPr>
      </w:pPr>
      <w:r w:rsidRPr="005D3645">
        <w:rPr>
          <w:sz w:val="20"/>
          <w:szCs w:val="20"/>
        </w:rPr>
        <w:t>Source: Tasmanian Economic Regulator, Energy in Tasmania, 201</w:t>
      </w:r>
      <w:r>
        <w:rPr>
          <w:sz w:val="20"/>
          <w:szCs w:val="20"/>
        </w:rPr>
        <w:t>3-14</w:t>
      </w:r>
      <w:r w:rsidRPr="005D3645">
        <w:rPr>
          <w:sz w:val="20"/>
          <w:szCs w:val="20"/>
        </w:rPr>
        <w:t xml:space="preserve"> to 2019-20</w:t>
      </w:r>
    </w:p>
    <w:p w14:paraId="0EE1EC36" w14:textId="77777777" w:rsidR="00DC6D96" w:rsidRDefault="00DC6D96" w:rsidP="00DC6D96">
      <w:r>
        <w:br w:type="page"/>
      </w:r>
    </w:p>
    <w:p w14:paraId="0C2F8C6B" w14:textId="77777777" w:rsidR="00DC6D96" w:rsidRPr="00775DA6" w:rsidRDefault="00DC6D96" w:rsidP="00DC6D96">
      <w:pPr>
        <w:rPr>
          <w:rStyle w:val="BodytextBold"/>
        </w:rPr>
      </w:pPr>
      <w:r w:rsidRPr="00775DA6">
        <w:rPr>
          <w:rStyle w:val="BodytextBold"/>
        </w:rPr>
        <w:lastRenderedPageBreak/>
        <w:t>Figure 5: Sources of Electricity Generation in Tasmania, 2017-18 to 2019-20 (GWh)</w:t>
      </w:r>
    </w:p>
    <w:p w14:paraId="172A8C36" w14:textId="77777777" w:rsidR="00DC6D96" w:rsidRPr="005D3645" w:rsidRDefault="00DC6D96" w:rsidP="00DC6D96">
      <w:r>
        <w:rPr>
          <w:noProof/>
        </w:rPr>
        <w:drawing>
          <wp:inline distT="0" distB="0" distL="0" distR="0" wp14:anchorId="5184FD8C" wp14:editId="75FFD29A">
            <wp:extent cx="5724525" cy="2800350"/>
            <wp:effectExtent l="0" t="0" r="9525" b="0"/>
            <wp:docPr id="14" name="Chart 14">
              <a:extLst xmlns:a="http://schemas.openxmlformats.org/drawingml/2006/main">
                <a:ext uri="{FF2B5EF4-FFF2-40B4-BE49-F238E27FC236}">
                  <a16:creationId xmlns:a16="http://schemas.microsoft.com/office/drawing/2014/main" id="{4040E042-4653-4F88-94D1-BE9368DF19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51B4F4" w14:textId="77777777" w:rsidR="00DC6D96" w:rsidRDefault="00DC6D96" w:rsidP="00DC6D96">
      <w:pPr>
        <w:rPr>
          <w:sz w:val="20"/>
          <w:szCs w:val="20"/>
        </w:rPr>
      </w:pPr>
      <w:r w:rsidRPr="005D3645">
        <w:rPr>
          <w:sz w:val="20"/>
          <w:szCs w:val="20"/>
        </w:rPr>
        <w:t>Source: Tasmanian Economic Regulator, Energy in Tasmania, 2019-20</w:t>
      </w:r>
    </w:p>
    <w:p w14:paraId="1797DD78" w14:textId="77777777" w:rsidR="00DC6D96" w:rsidRPr="00775DA6" w:rsidRDefault="00DC6D96" w:rsidP="00DC6D96">
      <w:pPr>
        <w:rPr>
          <w:sz w:val="20"/>
          <w:szCs w:val="20"/>
        </w:rPr>
      </w:pPr>
      <w:r>
        <w:rPr>
          <w:sz w:val="20"/>
          <w:szCs w:val="20"/>
        </w:rPr>
        <w:t>Note: Excludes solar PV connected to the distribution network. This is estimated at between 90-100 GWh per year over this period.</w:t>
      </w:r>
    </w:p>
    <w:p w14:paraId="3817FC7E" w14:textId="77777777" w:rsidR="00DC6D96" w:rsidRDefault="00DC6D96" w:rsidP="00DC6D96"/>
    <w:p w14:paraId="0B3E3496" w14:textId="77777777" w:rsidR="00DC6D96" w:rsidRDefault="00DC6D96" w:rsidP="00DC6D96">
      <w:pPr>
        <w:pStyle w:val="Headling2RT"/>
      </w:pPr>
      <w:bookmarkStart w:id="27" w:name="_Toc86219868"/>
      <w:r w:rsidRPr="00CA2B5F">
        <w:t>Tasmania’s small gas market</w:t>
      </w:r>
      <w:bookmarkEnd w:id="27"/>
      <w:r w:rsidRPr="00CA2B5F">
        <w:t xml:space="preserve"> </w:t>
      </w:r>
    </w:p>
    <w:p w14:paraId="6C74048E" w14:textId="77777777" w:rsidR="00DC6D96" w:rsidRDefault="00DC6D96" w:rsidP="00DC6D96">
      <w:pPr>
        <w:pStyle w:val="BodyText"/>
      </w:pPr>
      <w:r w:rsidRPr="00FF0F3C">
        <w:t>The natural gas market in Tasmania is relatively small compared to mainland states and territories</w:t>
      </w:r>
      <w:r>
        <w:t xml:space="preserve">, reflecting the reasonably recent introduction of natural gas into the State and the limited reach of the reticulation network. </w:t>
      </w:r>
    </w:p>
    <w:p w14:paraId="39DF9FEA" w14:textId="77777777" w:rsidR="00DC6D96" w:rsidRDefault="00DC6D96" w:rsidP="00DC6D96">
      <w:pPr>
        <w:pStyle w:val="BodyText"/>
      </w:pPr>
      <w:r>
        <w:t>The take-up rate for gas, particularly by small business and residential users, has been relatively slow since the pipeline was built in the early 2000s. Electricity remains the primary fuel source in Tasmania.</w:t>
      </w:r>
    </w:p>
    <w:p w14:paraId="5306B63D" w14:textId="77777777" w:rsidR="00DC6D96" w:rsidRDefault="00DC6D96" w:rsidP="00DC6D96">
      <w:pPr>
        <w:pStyle w:val="BodyText"/>
      </w:pPr>
      <w:r>
        <w:t>The low take-up rate of gas has led to limited expansion of the distribution network in Tasmania. While the gas distribution network is available to some 60 000 premises, the uptake has been only incremental, at around 15 000 customers.</w:t>
      </w:r>
    </w:p>
    <w:p w14:paraId="438A2105" w14:textId="5211A0D7" w:rsidR="00DC6D96" w:rsidRDefault="00DC6D96" w:rsidP="00DC6D96">
      <w:pPr>
        <w:pStyle w:val="BodyText"/>
      </w:pPr>
      <w:r>
        <w:t xml:space="preserve">As a result of Tasmanian’s small market and modest growth, the TGP is underutilised relative to its physical capacity. Lower levels of gas-fired generation at the TVPS also have the potential to further reduce utilisation of the TGP. </w:t>
      </w:r>
    </w:p>
    <w:p w14:paraId="25219502" w14:textId="77777777" w:rsidR="00DC6D96" w:rsidRDefault="00DC6D96" w:rsidP="00DC6D96">
      <w:pPr>
        <w:pStyle w:val="BodyText"/>
      </w:pPr>
    </w:p>
    <w:p w14:paraId="145E3F8D" w14:textId="7D3DEBE5" w:rsidR="00DC6D96" w:rsidRPr="004E5A12" w:rsidRDefault="00DC6D96" w:rsidP="00DC6D96">
      <w:pPr>
        <w:pStyle w:val="NoSpacing"/>
        <w:keepNext/>
        <w:rPr>
          <w:rStyle w:val="BodytextBold"/>
        </w:rPr>
      </w:pPr>
      <w:r w:rsidRPr="004E5A12">
        <w:rPr>
          <w:rStyle w:val="BodytextBold"/>
        </w:rPr>
        <w:lastRenderedPageBreak/>
        <w:t>Figure 6: Daily Natural Gas Demand in Tasmania</w:t>
      </w:r>
      <w:r>
        <w:rPr>
          <w:rStyle w:val="BodytextBold"/>
        </w:rPr>
        <w:t xml:space="preserve"> </w:t>
      </w:r>
      <w:r w:rsidR="00036D3B">
        <w:rPr>
          <w:rStyle w:val="BodytextBold"/>
        </w:rPr>
        <w:t>via</w:t>
      </w:r>
      <w:r>
        <w:rPr>
          <w:rStyle w:val="BodytextBold"/>
        </w:rPr>
        <w:t>TGP</w:t>
      </w:r>
      <w:r w:rsidR="00036D3B">
        <w:rPr>
          <w:rStyle w:val="BodytextBold"/>
        </w:rPr>
        <w:t xml:space="preserve"> (Terajoules)</w:t>
      </w:r>
    </w:p>
    <w:bookmarkStart w:id="28" w:name="_Toc81388238"/>
    <w:bookmarkStart w:id="29" w:name="_Toc81401148"/>
    <w:p w14:paraId="7EB8C52F" w14:textId="77777777" w:rsidR="00DC6D96" w:rsidRDefault="00DC6D96" w:rsidP="00DC6D96">
      <w:r>
        <w:rPr>
          <w:noProof/>
        </w:rPr>
        <mc:AlternateContent>
          <mc:Choice Requires="wps">
            <w:drawing>
              <wp:anchor distT="0" distB="0" distL="114300" distR="114300" simplePos="0" relativeHeight="251669504" behindDoc="0" locked="0" layoutInCell="1" allowOverlap="1" wp14:anchorId="723F499D" wp14:editId="00F80CFE">
                <wp:simplePos x="0" y="0"/>
                <wp:positionH relativeFrom="column">
                  <wp:posOffset>3340100</wp:posOffset>
                </wp:positionH>
                <wp:positionV relativeFrom="paragraph">
                  <wp:posOffset>203835</wp:posOffset>
                </wp:positionV>
                <wp:extent cx="152400" cy="101600"/>
                <wp:effectExtent l="38100" t="38100" r="19050" b="31750"/>
                <wp:wrapNone/>
                <wp:docPr id="17" name="Straight Arrow Connector 17"/>
                <wp:cNvGraphicFramePr/>
                <a:graphic xmlns:a="http://schemas.openxmlformats.org/drawingml/2006/main">
                  <a:graphicData uri="http://schemas.microsoft.com/office/word/2010/wordprocessingShape">
                    <wps:wsp>
                      <wps:cNvCnPr/>
                      <wps:spPr>
                        <a:xfrm flipH="1" flipV="1">
                          <a:off x="0" y="0"/>
                          <a:ext cx="152400" cy="101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44780A" id="_x0000_t32" coordsize="21600,21600" o:spt="32" o:oned="t" path="m,l21600,21600e" filled="f">
                <v:path arrowok="t" fillok="f" o:connecttype="none"/>
                <o:lock v:ext="edit" shapetype="t"/>
              </v:shapetype>
              <v:shape id="Straight Arrow Connector 17" o:spid="_x0000_s1026" type="#_x0000_t32" style="position:absolute;margin-left:263pt;margin-top:16.05pt;width:12pt;height:8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" strokecolor="black [3213]" strokeweight=".5pt">
                <v:stroke endarrow="block" joinstyle="miter"/>
              </v:shape>
            </w:pict>
          </mc:Fallback>
        </mc:AlternateContent>
      </w:r>
      <w:r>
        <w:rPr>
          <w:noProof/>
        </w:rPr>
        <mc:AlternateContent>
          <mc:Choice Requires="wps">
            <w:drawing>
              <wp:anchor distT="45720" distB="45720" distL="114300" distR="114300" simplePos="0" relativeHeight="251668480" behindDoc="0" locked="0" layoutInCell="1" allowOverlap="1" wp14:anchorId="4717109D" wp14:editId="5AE5348C">
                <wp:simplePos x="0" y="0"/>
                <wp:positionH relativeFrom="margin">
                  <wp:align>right</wp:align>
                </wp:positionH>
                <wp:positionV relativeFrom="paragraph">
                  <wp:posOffset>214630</wp:posOffset>
                </wp:positionV>
                <wp:extent cx="2360930" cy="140462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C46F14B" w14:textId="77777777" w:rsidR="00DC6D96" w:rsidRPr="004E5A12" w:rsidRDefault="00DC6D96" w:rsidP="00DC6D96">
                            <w:pPr>
                              <w:rPr>
                                <w:sz w:val="18"/>
                                <w:szCs w:val="18"/>
                              </w:rPr>
                            </w:pPr>
                            <w:r w:rsidRPr="004E5A12">
                              <w:rPr>
                                <w:sz w:val="18"/>
                                <w:szCs w:val="18"/>
                              </w:rPr>
                              <w:t>Tasmanian Gas Pipeline nameplate capacity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717109D" id="_x0000_s1028" type="#_x0000_t202" style="position:absolute;margin-left:134.7pt;margin-top:16.9pt;width:185.9pt;height:110.6pt;z-index:25166848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s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" stroked="f">
                <v:textbox style="mso-fit-shape-to-text:t">
                  <w:txbxContent>
                    <w:p w14:paraId="3C46F14B" w14:textId="77777777" w:rsidR="00DC6D96" w:rsidRPr="004E5A12" w:rsidRDefault="00DC6D96" w:rsidP="00DC6D96">
                      <w:pPr>
                        <w:rPr>
                          <w:sz w:val="18"/>
                          <w:szCs w:val="18"/>
                        </w:rPr>
                      </w:pPr>
                      <w:r w:rsidRPr="004E5A12">
                        <w:rPr>
                          <w:sz w:val="18"/>
                          <w:szCs w:val="18"/>
                        </w:rPr>
                        <w:t>Tasmanian Gas Pipeline nameplate capacity</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261DB82D" wp14:editId="5D2F5D9A">
                <wp:simplePos x="0" y="0"/>
                <wp:positionH relativeFrom="column">
                  <wp:posOffset>311150</wp:posOffset>
                </wp:positionH>
                <wp:positionV relativeFrom="paragraph">
                  <wp:posOffset>165735</wp:posOffset>
                </wp:positionV>
                <wp:extent cx="5219700" cy="12700"/>
                <wp:effectExtent l="0" t="0" r="19050" b="25400"/>
                <wp:wrapNone/>
                <wp:docPr id="16" name="Straight Connector 16"/>
                <wp:cNvGraphicFramePr/>
                <a:graphic xmlns:a="http://schemas.openxmlformats.org/drawingml/2006/main">
                  <a:graphicData uri="http://schemas.microsoft.com/office/word/2010/wordprocessingShape">
                    <wps:wsp>
                      <wps:cNvCnPr/>
                      <wps:spPr>
                        <a:xfrm>
                          <a:off x="0" y="0"/>
                          <a:ext cx="5219700" cy="12700"/>
                        </a:xfrm>
                        <a:prstGeom prst="line">
                          <a:avLst/>
                        </a:prstGeom>
                        <a:ln w="12700">
                          <a:solidFill>
                            <a:schemeClr val="bg2">
                              <a:lumMod val="2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E38E2F" id="Straight Connector 1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5pt,13.05pt" to="43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" strokecolor="#393737 [814]" strokeweight="1pt">
                <v:stroke dashstyle="dash" joinstyle="miter"/>
              </v:line>
            </w:pict>
          </mc:Fallback>
        </mc:AlternateContent>
      </w:r>
      <w:r>
        <w:rPr>
          <w:noProof/>
        </w:rPr>
        <w:drawing>
          <wp:inline distT="0" distB="0" distL="0" distR="0" wp14:anchorId="7D26D32E" wp14:editId="55807DAD">
            <wp:extent cx="5848350" cy="2336800"/>
            <wp:effectExtent l="0" t="0" r="0" b="6350"/>
            <wp:docPr id="15" name="Chart 15">
              <a:extLst xmlns:a="http://schemas.openxmlformats.org/drawingml/2006/main">
                <a:ext uri="{FF2B5EF4-FFF2-40B4-BE49-F238E27FC236}">
                  <a16:creationId xmlns:a16="http://schemas.microsoft.com/office/drawing/2014/main" id="{406C7350-CCF8-426B-9125-0449A59C24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28"/>
      <w:bookmarkEnd w:id="29"/>
    </w:p>
    <w:p w14:paraId="1171886C" w14:textId="77777777" w:rsidR="00DC6D96" w:rsidRPr="004E5A12" w:rsidRDefault="00DC6D96" w:rsidP="00DC6D96">
      <w:pPr>
        <w:rPr>
          <w:sz w:val="20"/>
          <w:szCs w:val="20"/>
        </w:rPr>
      </w:pPr>
      <w:r w:rsidRPr="004E5A12">
        <w:rPr>
          <w:sz w:val="20"/>
          <w:szCs w:val="20"/>
        </w:rPr>
        <w:t>Source: Australian Energy Market Operator, Gas Bulletin Board</w:t>
      </w:r>
    </w:p>
    <w:p w14:paraId="4B8B63E3" w14:textId="77777777" w:rsidR="00DC6D96" w:rsidRDefault="00DC6D96" w:rsidP="00DC6D96"/>
    <w:p w14:paraId="3D83CE56" w14:textId="77777777" w:rsidR="00DC6D96" w:rsidRDefault="00DC6D96" w:rsidP="00DC6D96">
      <w:pPr>
        <w:pStyle w:val="Headling2RT"/>
      </w:pPr>
      <w:bookmarkStart w:id="30" w:name="_Toc86219869"/>
      <w:r>
        <w:t>Gas Prices in Tasmania</w:t>
      </w:r>
      <w:bookmarkEnd w:id="30"/>
    </w:p>
    <w:p w14:paraId="048F8F0A" w14:textId="77777777" w:rsidR="00DC6D96" w:rsidRDefault="00DC6D96" w:rsidP="00DC6D96">
      <w:pPr>
        <w:pStyle w:val="BodyText"/>
      </w:pPr>
      <w:r>
        <w:t>G</w:t>
      </w:r>
      <w:r w:rsidRPr="004E2A96">
        <w:t>as prices are high</w:t>
      </w:r>
      <w:r>
        <w:t>er</w:t>
      </w:r>
      <w:r w:rsidRPr="004E2A96">
        <w:t xml:space="preserve"> in Tasmania</w:t>
      </w:r>
      <w:r>
        <w:t xml:space="preserve"> compared to other jurisdictions</w:t>
      </w:r>
      <w:r w:rsidRPr="004E2A96">
        <w:t>.</w:t>
      </w:r>
      <w:r>
        <w:t xml:space="preserve"> </w:t>
      </w:r>
    </w:p>
    <w:p w14:paraId="126F254A" w14:textId="77777777" w:rsidR="00DC6D96" w:rsidRDefault="00DC6D96" w:rsidP="00DC6D96">
      <w:pPr>
        <w:pStyle w:val="BodyText"/>
      </w:pPr>
      <w:r w:rsidRPr="004A5763">
        <w:t>Full r</w:t>
      </w:r>
      <w:r>
        <w:t>e</w:t>
      </w:r>
      <w:r w:rsidRPr="004A5763">
        <w:t xml:space="preserve">tail </w:t>
      </w:r>
      <w:r>
        <w:t xml:space="preserve">contestability </w:t>
      </w:r>
      <w:r w:rsidRPr="004A5763">
        <w:t>appl</w:t>
      </w:r>
      <w:r>
        <w:t>ies</w:t>
      </w:r>
      <w:r w:rsidRPr="004A5763">
        <w:t xml:space="preserve"> to the </w:t>
      </w:r>
      <w:r>
        <w:t xml:space="preserve">Tasmanian gas retail market and there are currently five licensed gas retailers in Tasmania. </w:t>
      </w:r>
    </w:p>
    <w:p w14:paraId="4CF63344" w14:textId="77777777" w:rsidR="00DC6D96" w:rsidRDefault="00DC6D96" w:rsidP="00DC6D96">
      <w:pPr>
        <w:pStyle w:val="BodyText"/>
      </w:pPr>
      <w:r>
        <w:t xml:space="preserve">Aurora Energy and Tas Gas Retail are the two largest natural gas retailers, with Weston Energy retailing gas to commercial and industrial customers in the State. GloBird Energy is a licensed retailer; however it is understood that it has no current Tasmanian customers. Origin Energy Retail retails Liquid Propane Gas (LPG) within the Glenara Lakes complex in Launceston. </w:t>
      </w:r>
      <w:r w:rsidRPr="004A5763">
        <w:t xml:space="preserve"> </w:t>
      </w:r>
    </w:p>
    <w:p w14:paraId="1C199810" w14:textId="77777777" w:rsidR="00DC6D96" w:rsidRDefault="00DC6D96" w:rsidP="00DC6D96">
      <w:pPr>
        <w:pStyle w:val="BodyText"/>
      </w:pPr>
      <w:r>
        <w:t>The</w:t>
      </w:r>
      <w:r w:rsidRPr="007A18A7">
        <w:t xml:space="preserve"> two </w:t>
      </w:r>
      <w:r>
        <w:t xml:space="preserve">largest </w:t>
      </w:r>
      <w:r w:rsidRPr="007A18A7">
        <w:t>licensed gas retailers in Tasmania</w:t>
      </w:r>
      <w:r>
        <w:t xml:space="preserve">, </w:t>
      </w:r>
      <w:r w:rsidRPr="007A18A7">
        <w:t xml:space="preserve">Tas Gas Retail and Aurora Energy, </w:t>
      </w:r>
      <w:r>
        <w:t>offer</w:t>
      </w:r>
      <w:r w:rsidRPr="007A18A7">
        <w:t xml:space="preserve"> a single residential tariff and a single business tariff.</w:t>
      </w:r>
      <w:r w:rsidRPr="00E61903">
        <w:rPr>
          <w:vertAlign w:val="superscript"/>
        </w:rPr>
        <w:footnoteReference w:id="2"/>
      </w:r>
    </w:p>
    <w:p w14:paraId="1CEB67EB" w14:textId="77777777" w:rsidR="00DC6D96" w:rsidRPr="001D4AEB" w:rsidRDefault="00DC6D96" w:rsidP="00DC6D96">
      <w:pPr>
        <w:pStyle w:val="BodyText"/>
      </w:pPr>
      <w:r w:rsidRPr="001D4AEB">
        <w:t>Transmission costs for gas in Tasmania are the highest in Australia and distribution costs are significantly higher than the national average.</w:t>
      </w:r>
      <w:r w:rsidRPr="001D4AEB">
        <w:rPr>
          <w:vertAlign w:val="superscript"/>
        </w:rPr>
        <w:footnoteReference w:id="3"/>
      </w:r>
      <w:r w:rsidRPr="001D4AEB">
        <w:t xml:space="preserve"> There are a number of reasons for this including:</w:t>
      </w:r>
    </w:p>
    <w:p w14:paraId="0DFE6E80" w14:textId="590A8AA4" w:rsidR="00DC6D96" w:rsidRPr="001D4AEB" w:rsidRDefault="00DC6D96" w:rsidP="00DC6D96">
      <w:pPr>
        <w:pStyle w:val="BodyText"/>
        <w:numPr>
          <w:ilvl w:val="0"/>
          <w:numId w:val="19"/>
        </w:numPr>
      </w:pPr>
      <w:r w:rsidRPr="001D4AEB">
        <w:t xml:space="preserve">Tasmania’s location in relation to the gas fields </w:t>
      </w:r>
    </w:p>
    <w:p w14:paraId="74E1ECF4" w14:textId="77777777" w:rsidR="00DC6D96" w:rsidRPr="001D4AEB" w:rsidRDefault="00DC6D96" w:rsidP="00DC6D96">
      <w:pPr>
        <w:pStyle w:val="BodyText"/>
        <w:numPr>
          <w:ilvl w:val="0"/>
          <w:numId w:val="19"/>
        </w:numPr>
      </w:pPr>
      <w:r w:rsidRPr="001D4AEB">
        <w:t xml:space="preserve">the small market where fixed costs have to be recovered from a small number of customers, most of whom consume a low volume of gas. </w:t>
      </w:r>
    </w:p>
    <w:p w14:paraId="1A4C3F49" w14:textId="77777777" w:rsidR="00DC6D96" w:rsidRPr="001D4AEB" w:rsidRDefault="00DC6D96" w:rsidP="00DC6D96">
      <w:pPr>
        <w:rPr>
          <w:sz w:val="22"/>
          <w:szCs w:val="22"/>
        </w:rPr>
      </w:pPr>
      <w:r w:rsidRPr="001D4AEB">
        <w:rPr>
          <w:sz w:val="22"/>
          <w:szCs w:val="22"/>
        </w:rPr>
        <w:t xml:space="preserve">The gas commodity prices in Tasmania (determined by the east coast market price) are expected to remain high, depending on the supply-demand balance. </w:t>
      </w:r>
    </w:p>
    <w:p w14:paraId="7A2483B2" w14:textId="77777777" w:rsidR="00DC6D96" w:rsidRDefault="00DC6D96" w:rsidP="00DC6D96"/>
    <w:p w14:paraId="65DD3BFF" w14:textId="77777777" w:rsidR="00DC6D96" w:rsidRDefault="00DC6D96" w:rsidP="00DC6D96">
      <w:pPr>
        <w:rPr>
          <w:sz w:val="22"/>
          <w:szCs w:val="22"/>
        </w:rPr>
      </w:pPr>
      <w:r>
        <w:br w:type="page"/>
      </w:r>
    </w:p>
    <w:p w14:paraId="73539B0C" w14:textId="4C7A4068" w:rsidR="00DC6D96" w:rsidRDefault="00DC6D96" w:rsidP="00DC6D96">
      <w:pPr>
        <w:pStyle w:val="BodyText"/>
      </w:pPr>
      <w:r>
        <w:lastRenderedPageBreak/>
        <w:t xml:space="preserve">Tasmania’s </w:t>
      </w:r>
      <w:r w:rsidRPr="007A18A7">
        <w:t xml:space="preserve">gas retailers offer gas to residential customers on tariffs that result in </w:t>
      </w:r>
      <w:r>
        <w:t xml:space="preserve">higher </w:t>
      </w:r>
      <w:r w:rsidRPr="007A18A7">
        <w:t>annual bills than the tariffs available in</w:t>
      </w:r>
      <w:r>
        <w:t xml:space="preserve"> most other mainland jurisdictions. </w:t>
      </w:r>
      <w:r w:rsidR="000F4FDF">
        <w:t>For an annual consumption of 30,000 MJs, a Tasmanian household would receive an</w:t>
      </w:r>
      <w:r w:rsidRPr="004E2A96">
        <w:t xml:space="preserve"> annual bill </w:t>
      </w:r>
      <w:r w:rsidR="000F4FDF">
        <w:t>of</w:t>
      </w:r>
      <w:r w:rsidRPr="004E2A96">
        <w:t xml:space="preserve"> </w:t>
      </w:r>
      <w:r>
        <w:t xml:space="preserve">approximately </w:t>
      </w:r>
      <w:r w:rsidRPr="004E2A96">
        <w:t xml:space="preserve">$1 </w:t>
      </w:r>
      <w:r>
        <w:t>400</w:t>
      </w:r>
      <w:r w:rsidRPr="004E2A96">
        <w:t xml:space="preserve">. </w:t>
      </w:r>
      <w:r w:rsidR="000F4FDF" w:rsidRPr="00377D9C">
        <w:t xml:space="preserve">In </w:t>
      </w:r>
      <w:r w:rsidR="00036D3B">
        <w:t xml:space="preserve">some </w:t>
      </w:r>
      <w:r w:rsidR="000F4FDF">
        <w:t xml:space="preserve">other </w:t>
      </w:r>
      <w:r w:rsidR="000F4FDF" w:rsidRPr="00377D9C">
        <w:t>jurisdictions,</w:t>
      </w:r>
      <w:r w:rsidR="000F4FDF">
        <w:t xml:space="preserve"> households</w:t>
      </w:r>
      <w:r w:rsidR="000F4FDF" w:rsidRPr="00377D9C">
        <w:t xml:space="preserve"> </w:t>
      </w:r>
      <w:r w:rsidR="000F4FDF">
        <w:t xml:space="preserve">can receive </w:t>
      </w:r>
      <w:r w:rsidR="000F4FDF" w:rsidRPr="00377D9C">
        <w:t xml:space="preserve">an annual bill of under $1 </w:t>
      </w:r>
      <w:r w:rsidR="00011FFC">
        <w:t>1</w:t>
      </w:r>
      <w:r w:rsidR="000F4FDF" w:rsidRPr="00377D9C">
        <w:t>00 for the same consumption.</w:t>
      </w:r>
      <w:r>
        <w:t xml:space="preserve"> </w:t>
      </w:r>
    </w:p>
    <w:p w14:paraId="69700D66" w14:textId="77777777" w:rsidR="00DC6D96" w:rsidRPr="00927A45" w:rsidRDefault="00DC6D96" w:rsidP="00DC6D96">
      <w:pPr>
        <w:pStyle w:val="NoSpacing"/>
        <w:keepNext/>
        <w:rPr>
          <w:rStyle w:val="BodytextBold"/>
        </w:rPr>
      </w:pPr>
      <w:r w:rsidRPr="00927A45">
        <w:rPr>
          <w:rStyle w:val="BodytextBold"/>
        </w:rPr>
        <w:t xml:space="preserve">Figure </w:t>
      </w:r>
      <w:r>
        <w:rPr>
          <w:rStyle w:val="BodytextBold"/>
        </w:rPr>
        <w:t>7</w:t>
      </w:r>
      <w:r w:rsidRPr="00927A45">
        <w:rPr>
          <w:rStyle w:val="BodytextBold"/>
        </w:rPr>
        <w:t>: Average annual household gas bill for 30 000MJ consumption</w:t>
      </w:r>
    </w:p>
    <w:p w14:paraId="0ABEED95" w14:textId="77777777" w:rsidR="00DC6D96" w:rsidRDefault="00DC6D96" w:rsidP="00DC6D96">
      <w:pPr>
        <w:pStyle w:val="BodyText"/>
      </w:pPr>
      <w:r>
        <w:rPr>
          <w:noProof/>
        </w:rPr>
        <w:drawing>
          <wp:inline distT="0" distB="0" distL="0" distR="0" wp14:anchorId="3D623A54" wp14:editId="7C64723E">
            <wp:extent cx="5610225" cy="2628900"/>
            <wp:effectExtent l="0" t="0" r="9525" b="0"/>
            <wp:docPr id="5" name="Chart 5">
              <a:extLst xmlns:a="http://schemas.openxmlformats.org/drawingml/2006/main">
                <a:ext uri="{FF2B5EF4-FFF2-40B4-BE49-F238E27FC236}">
                  <a16:creationId xmlns:a16="http://schemas.microsoft.com/office/drawing/2014/main" id="{73EE9605-1C0F-4EE6-8E07-8DC006307C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9AD1357" w14:textId="77777777" w:rsidR="00DC6D96" w:rsidRDefault="00DC6D96" w:rsidP="00DC6D96">
      <w:pPr>
        <w:pStyle w:val="NoSpacing"/>
        <w:rPr>
          <w:sz w:val="20"/>
          <w:szCs w:val="20"/>
        </w:rPr>
      </w:pPr>
      <w:r w:rsidRPr="00927A45">
        <w:rPr>
          <w:sz w:val="20"/>
          <w:szCs w:val="20"/>
        </w:rPr>
        <w:t>Source: Tasmanian Economic Regulator, Comparison of Electricity and Gas Prices Available to Small Customers in Australia, March 2021</w:t>
      </w:r>
    </w:p>
    <w:p w14:paraId="5FCBE2DF" w14:textId="77777777" w:rsidR="00DC6D96" w:rsidRPr="00927A45" w:rsidRDefault="00DC6D96" w:rsidP="00DC6D96">
      <w:pPr>
        <w:pStyle w:val="NoSpacing"/>
        <w:rPr>
          <w:sz w:val="20"/>
          <w:szCs w:val="20"/>
        </w:rPr>
      </w:pPr>
    </w:p>
    <w:p w14:paraId="2BCB5EED" w14:textId="77777777" w:rsidR="00DC6D96" w:rsidRDefault="00DC6D96" w:rsidP="00DC6D96">
      <w:pPr>
        <w:pStyle w:val="BodyText"/>
      </w:pPr>
      <w:r w:rsidRPr="004E2A96">
        <w:t xml:space="preserve">Business customers in Tasmania </w:t>
      </w:r>
      <w:r>
        <w:t>have some of the highest</w:t>
      </w:r>
      <w:r w:rsidRPr="004E2A96">
        <w:t xml:space="preserve"> gas bills</w:t>
      </w:r>
      <w:r>
        <w:t xml:space="preserve"> in Australia</w:t>
      </w:r>
      <w:r w:rsidRPr="004E2A96">
        <w:t xml:space="preserve">. </w:t>
      </w:r>
      <w:r>
        <w:t xml:space="preserve">For an </w:t>
      </w:r>
      <w:r w:rsidRPr="004E2A96">
        <w:t xml:space="preserve">annual consumption of 473 000 MJ, </w:t>
      </w:r>
      <w:r>
        <w:t xml:space="preserve">a Tasmanian business would receive a </w:t>
      </w:r>
      <w:r w:rsidRPr="004E2A96">
        <w:t>bill</w:t>
      </w:r>
      <w:r>
        <w:t xml:space="preserve"> of</w:t>
      </w:r>
      <w:r w:rsidRPr="004E2A96">
        <w:t xml:space="preserve"> </w:t>
      </w:r>
      <w:r>
        <w:t xml:space="preserve">approximately </w:t>
      </w:r>
      <w:r w:rsidRPr="004E2A96">
        <w:t xml:space="preserve">$20 </w:t>
      </w:r>
      <w:r>
        <w:t>500</w:t>
      </w:r>
      <w:r w:rsidRPr="004E2A96">
        <w:t xml:space="preserve">. </w:t>
      </w:r>
      <w:r w:rsidRPr="00377D9C">
        <w:t xml:space="preserve">In </w:t>
      </w:r>
      <w:r>
        <w:t xml:space="preserve">other </w:t>
      </w:r>
      <w:r w:rsidRPr="00377D9C">
        <w:t>jurisdictions,</w:t>
      </w:r>
      <w:r>
        <w:t xml:space="preserve"> </w:t>
      </w:r>
      <w:r w:rsidRPr="00377D9C">
        <w:t xml:space="preserve">business customers </w:t>
      </w:r>
      <w:r>
        <w:t xml:space="preserve">can receive </w:t>
      </w:r>
      <w:r w:rsidRPr="00377D9C">
        <w:t>an annual bill of under $1</w:t>
      </w:r>
      <w:r>
        <w:t>1</w:t>
      </w:r>
      <w:r w:rsidRPr="00377D9C">
        <w:t xml:space="preserve"> 000 for the same consumption.</w:t>
      </w:r>
      <w:r w:rsidRPr="0072433F">
        <w:rPr>
          <w:vertAlign w:val="superscript"/>
        </w:rPr>
        <w:footnoteReference w:id="4"/>
      </w:r>
    </w:p>
    <w:p w14:paraId="340582BD" w14:textId="77777777" w:rsidR="00DC6D96" w:rsidRPr="00927A45" w:rsidRDefault="00DC6D96" w:rsidP="00DC6D96">
      <w:pPr>
        <w:pStyle w:val="NoSpacing"/>
        <w:keepNext/>
        <w:rPr>
          <w:rStyle w:val="BodytextBold"/>
        </w:rPr>
      </w:pPr>
      <w:r w:rsidRPr="00927A45">
        <w:rPr>
          <w:rStyle w:val="BodytextBold"/>
        </w:rPr>
        <w:t xml:space="preserve">Figure </w:t>
      </w:r>
      <w:r>
        <w:rPr>
          <w:rStyle w:val="BodytextBold"/>
        </w:rPr>
        <w:t>8</w:t>
      </w:r>
      <w:r w:rsidRPr="00927A45">
        <w:rPr>
          <w:rStyle w:val="BodytextBold"/>
        </w:rPr>
        <w:t>: Average annual business gas bill for 473 000MJ consumption</w:t>
      </w:r>
    </w:p>
    <w:p w14:paraId="527561EE" w14:textId="77777777" w:rsidR="00DC6D96" w:rsidRDefault="00DC6D96" w:rsidP="00DC6D96">
      <w:pPr>
        <w:pStyle w:val="BodyText"/>
      </w:pPr>
      <w:r>
        <w:rPr>
          <w:noProof/>
        </w:rPr>
        <w:drawing>
          <wp:inline distT="0" distB="0" distL="0" distR="0" wp14:anchorId="347FAA89" wp14:editId="20BE26E8">
            <wp:extent cx="5638800" cy="2600325"/>
            <wp:effectExtent l="0" t="0" r="0" b="9525"/>
            <wp:docPr id="4" name="Chart 4">
              <a:extLst xmlns:a="http://schemas.openxmlformats.org/drawingml/2006/main">
                <a:ext uri="{FF2B5EF4-FFF2-40B4-BE49-F238E27FC236}">
                  <a16:creationId xmlns:a16="http://schemas.microsoft.com/office/drawing/2014/main" id="{B3B49A72-2881-4DC5-9A05-7738E778D8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C3AB60F" w14:textId="77777777" w:rsidR="00DC6D96" w:rsidRDefault="00DC6D96" w:rsidP="00DC6D96">
      <w:pPr>
        <w:pStyle w:val="NoSpacing"/>
        <w:rPr>
          <w:sz w:val="20"/>
          <w:szCs w:val="20"/>
        </w:rPr>
      </w:pPr>
      <w:r w:rsidRPr="00C65A3B">
        <w:rPr>
          <w:sz w:val="20"/>
          <w:szCs w:val="20"/>
        </w:rPr>
        <w:t>Source: Tasmanian Economic Regulator, Comparison of Electricity and Gas Prices Available to Small Customers in Australia, March 2021</w:t>
      </w:r>
    </w:p>
    <w:p w14:paraId="5516B6C2" w14:textId="77777777" w:rsidR="006F4C78" w:rsidRDefault="006F4C78" w:rsidP="00DC6D96">
      <w:pPr>
        <w:pStyle w:val="BodyText"/>
      </w:pPr>
    </w:p>
    <w:p w14:paraId="0E976239" w14:textId="77777777" w:rsidR="006F4C78" w:rsidRDefault="00DC6D96" w:rsidP="00DC6D96">
      <w:pPr>
        <w:pStyle w:val="BodyText"/>
      </w:pPr>
      <w:r>
        <w:lastRenderedPageBreak/>
        <w:t xml:space="preserve">The Government is working to help Tasmanian households deal with </w:t>
      </w:r>
      <w:r w:rsidRPr="008D6844">
        <w:t xml:space="preserve">energy affordability challenges </w:t>
      </w:r>
      <w:r>
        <w:t xml:space="preserve">and it recognises that any increase in an already high gas price would exacerbate these challenges. </w:t>
      </w:r>
    </w:p>
    <w:p w14:paraId="73674C0A" w14:textId="636E03DF" w:rsidR="00DC6D96" w:rsidRDefault="00DC6D96" w:rsidP="00DC6D96">
      <w:pPr>
        <w:pStyle w:val="BodyText"/>
      </w:pPr>
      <w:r>
        <w:t xml:space="preserve">Higher gas prices are also particularly challenging for commercial and industrial gas customers. </w:t>
      </w:r>
      <w:r w:rsidRPr="003100BB">
        <w:t xml:space="preserve">Many of the major industry users use gas as a fuel source for heat purposes, for which an alternate heat product is not </w:t>
      </w:r>
      <w:r>
        <w:t>currently</w:t>
      </w:r>
      <w:r w:rsidRPr="003100BB">
        <w:t xml:space="preserve"> economically viable.  </w:t>
      </w:r>
    </w:p>
    <w:p w14:paraId="5CDD1FBB" w14:textId="4A55823F" w:rsidR="00DC6D96" w:rsidRDefault="00DC6D96" w:rsidP="00DC6D96">
      <w:pPr>
        <w:pStyle w:val="BodyText"/>
      </w:pPr>
      <w:r w:rsidRPr="003100BB">
        <w:t xml:space="preserve">At present, </w:t>
      </w:r>
      <w:r>
        <w:t xml:space="preserve">the </w:t>
      </w:r>
      <w:r w:rsidRPr="003100BB">
        <w:t>availability of gas at a competitive price is critical to these users</w:t>
      </w:r>
      <w:r>
        <w:t xml:space="preserve">. </w:t>
      </w:r>
    </w:p>
    <w:p w14:paraId="2A172BC4" w14:textId="77777777" w:rsidR="00DC6D96" w:rsidRDefault="00DC6D96" w:rsidP="00DC6D96">
      <w:pPr>
        <w:pStyle w:val="Headling2RT"/>
      </w:pPr>
      <w:bookmarkStart w:id="31" w:name="_Toc86219870"/>
      <w:r>
        <w:t>Gas Supply Security in Tasmania</w:t>
      </w:r>
      <w:bookmarkEnd w:id="31"/>
      <w:r>
        <w:t xml:space="preserve"> </w:t>
      </w:r>
    </w:p>
    <w:p w14:paraId="55F6C815" w14:textId="77777777" w:rsidR="00DC6D96" w:rsidRPr="00C1002F" w:rsidRDefault="00DC6D96" w:rsidP="00DC6D96">
      <w:pPr>
        <w:pStyle w:val="BodyText"/>
      </w:pPr>
      <w:r w:rsidRPr="00C1002F">
        <w:t xml:space="preserve">The TGP is a single gas transmission pipeline supplying all Tasmanian gas consumers. </w:t>
      </w:r>
      <w:r>
        <w:t xml:space="preserve">Tasmania has no </w:t>
      </w:r>
      <w:r w:rsidRPr="0037566D">
        <w:t>local</w:t>
      </w:r>
      <w:r>
        <w:t xml:space="preserve"> gas reserves. As a result, there are very few </w:t>
      </w:r>
      <w:r w:rsidRPr="00C1002F">
        <w:t>redundanc</w:t>
      </w:r>
      <w:r>
        <w:t>ies</w:t>
      </w:r>
      <w:r w:rsidRPr="00C1002F">
        <w:t xml:space="preserve"> should gas supplies into Tasmania fail or suffer major disruption, </w:t>
      </w:r>
      <w:r>
        <w:t>for example from a</w:t>
      </w:r>
      <w:r w:rsidRPr="00C1002F">
        <w:t xml:space="preserve"> pipeline outage</w:t>
      </w:r>
      <w:r>
        <w:t xml:space="preserve"> or</w:t>
      </w:r>
      <w:r w:rsidRPr="00C1002F">
        <w:t xml:space="preserve"> </w:t>
      </w:r>
      <w:r>
        <w:t xml:space="preserve">a </w:t>
      </w:r>
      <w:r w:rsidRPr="00C1002F">
        <w:t>gas supply issue in Victoria.</w:t>
      </w:r>
      <w:r>
        <w:t xml:space="preserve"> However, TGP has operated for the past 20 years with no major disruptions or supply failures.  </w:t>
      </w:r>
    </w:p>
    <w:p w14:paraId="7766AB36" w14:textId="77777777" w:rsidR="00DC6D96" w:rsidRDefault="00DC6D96" w:rsidP="00DC6D96">
      <w:pPr>
        <w:pStyle w:val="BodyText"/>
      </w:pPr>
      <w:r>
        <w:t>In 2017, t</w:t>
      </w:r>
      <w:r w:rsidRPr="00C1002F">
        <w:t xml:space="preserve">he Tasmanian Energy Security Taskforce found that the viability of the Tasmanian gas market appears "susceptible" given its scale and increasing supply and price risks associated with both gas commodity and pipeline access. </w:t>
      </w:r>
      <w:r>
        <w:rPr>
          <w:rStyle w:val="FootnoteReference"/>
        </w:rPr>
        <w:footnoteReference w:id="5"/>
      </w:r>
    </w:p>
    <w:p w14:paraId="38C331CD" w14:textId="77777777" w:rsidR="00DC6D96" w:rsidRDefault="00DC6D96" w:rsidP="00DC6D96">
      <w:pPr>
        <w:pStyle w:val="BodyText"/>
      </w:pPr>
      <w:r>
        <w:t xml:space="preserve">The Australian Energy Market Operator’s 2021 Gas Statement of Opportunities (GSOO) forecasts an improved gas supply outlook compared to the 2020 GSOO which predicted a supply shortfall in Victoria as early as 2023.  Provided the Port Kembla Gas Terminal delivers gas ahead of winter 2023 and other committed projects go ahead, the projected shortfalls will be deferred to 2026.  However, there remains a risk of a supply shortfall as early as 2023 in certain circumstances, particularly if committed projects are delayed. </w:t>
      </w:r>
    </w:p>
    <w:p w14:paraId="335A50A0" w14:textId="77777777" w:rsidR="00DC6D96" w:rsidRDefault="00DC6D96" w:rsidP="00DC6D96">
      <w:pPr>
        <w:rPr>
          <w:rFonts w:ascii="GILL SANS SEMIBOLD" w:hAnsi="GILL SANS SEMIBOLD" w:cs="Gill Sans Nova Medium"/>
          <w:b/>
          <w:color w:val="1C1F4D"/>
          <w:sz w:val="56"/>
          <w:szCs w:val="26"/>
          <w:lang w:val="en-GB"/>
        </w:rPr>
      </w:pPr>
      <w:r>
        <w:br w:type="page"/>
      </w:r>
    </w:p>
    <w:p w14:paraId="2AD3EB15" w14:textId="77777777" w:rsidR="00DC6D96" w:rsidRPr="00255CBC" w:rsidRDefault="00DC6D96" w:rsidP="00DC6D96">
      <w:pPr>
        <w:pStyle w:val="Heading1RT"/>
      </w:pPr>
      <w:bookmarkStart w:id="32" w:name="_Toc86219871"/>
      <w:r w:rsidRPr="00255CBC">
        <w:lastRenderedPageBreak/>
        <w:t>Decarbonisation of Gas</w:t>
      </w:r>
      <w:bookmarkEnd w:id="32"/>
    </w:p>
    <w:p w14:paraId="1EEE601E" w14:textId="77777777" w:rsidR="00DC6D96" w:rsidRPr="007F2902" w:rsidRDefault="00DC6D96" w:rsidP="00DC6D96">
      <w:pPr>
        <w:pStyle w:val="BodyText"/>
        <w:rPr>
          <w:rStyle w:val="BodytextBold"/>
          <w:b w:val="0"/>
          <w:bCs w:val="0"/>
        </w:rPr>
      </w:pPr>
      <w:r w:rsidRPr="00C41597">
        <w:t>Th</w:t>
      </w:r>
      <w:r>
        <w:t>e</w:t>
      </w:r>
      <w:r w:rsidRPr="00C41597">
        <w:t xml:space="preserve"> </w:t>
      </w:r>
      <w:r>
        <w:t>energy</w:t>
      </w:r>
      <w:r w:rsidRPr="00C41597">
        <w:t xml:space="preserve"> sec</w:t>
      </w:r>
      <w:r>
        <w:t xml:space="preserve">tor </w:t>
      </w:r>
      <w:r w:rsidRPr="00C41597">
        <w:t xml:space="preserve">is on the </w:t>
      </w:r>
      <w:r>
        <w:t>verge of transformation. As the global push to decarbonise gathers pace,</w:t>
      </w:r>
      <w:r w:rsidRPr="00F333BD">
        <w:t xml:space="preserve"> energy systems in Australia and globally are looking to </w:t>
      </w:r>
      <w:r>
        <w:t xml:space="preserve">transition away from fossils fuels. </w:t>
      </w:r>
    </w:p>
    <w:p w14:paraId="39EA306C" w14:textId="77777777" w:rsidR="00DC6D96" w:rsidRPr="00603EC3" w:rsidRDefault="00DC6D96" w:rsidP="00DC6D96">
      <w:pPr>
        <w:pStyle w:val="BodyText"/>
      </w:pPr>
      <w:r>
        <w:t xml:space="preserve">Countries across the world are exploring pathways </w:t>
      </w:r>
      <w:r w:rsidRPr="00603EC3">
        <w:t>to decarbonise their economies</w:t>
      </w:r>
      <w:r>
        <w:t xml:space="preserve"> and there is g</w:t>
      </w:r>
      <w:r w:rsidRPr="00603EC3">
        <w:t xml:space="preserve">rowing domestic and international </w:t>
      </w:r>
      <w:r>
        <w:t xml:space="preserve">pressure </w:t>
      </w:r>
      <w:r w:rsidRPr="00603EC3">
        <w:t>to decarbonise gas.</w:t>
      </w:r>
      <w:r>
        <w:t xml:space="preserve"> Significantly, a number of Australia’s key LNG export markets </w:t>
      </w:r>
      <w:r w:rsidRPr="00603EC3">
        <w:t xml:space="preserve">have all recently made </w:t>
      </w:r>
      <w:r>
        <w:t>n</w:t>
      </w:r>
      <w:r w:rsidRPr="00603EC3">
        <w:t xml:space="preserve">et </w:t>
      </w:r>
      <w:r>
        <w:t>z</w:t>
      </w:r>
      <w:r w:rsidRPr="00603EC3">
        <w:t>ero commitments</w:t>
      </w:r>
      <w:r>
        <w:t xml:space="preserve">: </w:t>
      </w:r>
      <w:r w:rsidRPr="00603EC3">
        <w:t>Japan</w:t>
      </w:r>
      <w:r>
        <w:t xml:space="preserve"> </w:t>
      </w:r>
      <w:r w:rsidRPr="00603EC3">
        <w:t>2050</w:t>
      </w:r>
      <w:r>
        <w:t>, C</w:t>
      </w:r>
      <w:r w:rsidRPr="00603EC3">
        <w:t>hina</w:t>
      </w:r>
      <w:r>
        <w:t xml:space="preserve"> </w:t>
      </w:r>
      <w:r w:rsidRPr="00603EC3">
        <w:t>2060</w:t>
      </w:r>
      <w:r>
        <w:t xml:space="preserve"> and </w:t>
      </w:r>
      <w:r w:rsidRPr="00603EC3">
        <w:t>South Korea 2050</w:t>
      </w:r>
      <w:r>
        <w:t>.</w:t>
      </w:r>
    </w:p>
    <w:p w14:paraId="68506AAF" w14:textId="77777777" w:rsidR="00DC6D96" w:rsidRDefault="00DC6D96" w:rsidP="00DC6D96">
      <w:pPr>
        <w:pStyle w:val="BodyText"/>
        <w:rPr>
          <w:rStyle w:val="BodytextBold"/>
          <w:b w:val="0"/>
          <w:bCs w:val="0"/>
        </w:rPr>
      </w:pPr>
      <w:r>
        <w:t xml:space="preserve">Australia, as a signatory to the Paris Climate Agreement, has committed to reducing its own carbon emissions by 26-28 per cent on 2005 levels by 2030. </w:t>
      </w:r>
      <w:r>
        <w:rPr>
          <w:rStyle w:val="BodytextBold"/>
        </w:rPr>
        <w:t>A</w:t>
      </w:r>
      <w:r w:rsidRPr="006469B7">
        <w:rPr>
          <w:rStyle w:val="BodytextBold"/>
        </w:rPr>
        <w:t>ll Australian states and territories have set ambitious renewable energy or emissions reduction targets to drive investment in renewables and move to clean energy</w:t>
      </w:r>
      <w:r>
        <w:rPr>
          <w:rStyle w:val="BodytextBold"/>
        </w:rPr>
        <w:t xml:space="preserve"> systems.</w:t>
      </w:r>
    </w:p>
    <w:p w14:paraId="7019B867" w14:textId="77777777" w:rsidR="00DC6D96" w:rsidRDefault="00DC6D96" w:rsidP="00DC6D96">
      <w:pPr>
        <w:pStyle w:val="BodyText"/>
      </w:pPr>
      <w:bookmarkStart w:id="33" w:name="_Hlk85621097"/>
      <w:r>
        <w:t xml:space="preserve">Tasmania, as Australia’s leading renewable energy state, has set a clear policy agenda that reflects its commitment to reducing carbon emissions, promoting renewable energy and transitioning away from fossil fuels. </w:t>
      </w:r>
    </w:p>
    <w:p w14:paraId="25C438C9" w14:textId="77777777" w:rsidR="00DC6D96" w:rsidRDefault="00DC6D96" w:rsidP="00DC6D96">
      <w:pPr>
        <w:pStyle w:val="Headling2RT"/>
      </w:pPr>
      <w:bookmarkStart w:id="34" w:name="_Toc86219872"/>
      <w:bookmarkEnd w:id="33"/>
      <w:r>
        <w:t>Pathway to decarbonisation</w:t>
      </w:r>
      <w:bookmarkEnd w:id="34"/>
    </w:p>
    <w:p w14:paraId="73C34A1D" w14:textId="77777777" w:rsidR="00DC6D96" w:rsidRDefault="00DC6D96" w:rsidP="00DC6D96">
      <w:pPr>
        <w:pStyle w:val="BodyText"/>
      </w:pPr>
      <w:r>
        <w:t xml:space="preserve">Decarbonising our gas sector is firmly aligned with our energy and climate change goals. </w:t>
      </w:r>
    </w:p>
    <w:p w14:paraId="25FF253C" w14:textId="77777777" w:rsidR="00DC6D96" w:rsidRDefault="00DC6D96" w:rsidP="00DC6D96">
      <w:pPr>
        <w:pStyle w:val="BodyText"/>
      </w:pPr>
      <w:r>
        <w:t xml:space="preserve">Natural gas in Tasmania has been a valuable energy source for the past 20 years. It is now timely to look at a pathway that will allow us to decarbonise our gas network. </w:t>
      </w:r>
    </w:p>
    <w:p w14:paraId="48443B73" w14:textId="77777777" w:rsidR="00DC6D96" w:rsidRDefault="00DC6D96" w:rsidP="00DC6D96">
      <w:pPr>
        <w:pStyle w:val="BodyText"/>
      </w:pPr>
      <w:r>
        <w:t xml:space="preserve">If Tasmania is to </w:t>
      </w:r>
      <w:r w:rsidRPr="00CB3834">
        <w:t>transition to a decarbonised gas network</w:t>
      </w:r>
      <w:r>
        <w:t xml:space="preserve">, it will be critical to consider what this pathway should look like. </w:t>
      </w:r>
    </w:p>
    <w:p w14:paraId="7CA97DA5" w14:textId="0BE6E9D9" w:rsidR="00DC6D96" w:rsidRPr="001D4AEB" w:rsidRDefault="00DC6D96" w:rsidP="00DC6D96">
      <w:pPr>
        <w:pStyle w:val="BodyText"/>
      </w:pPr>
      <w:bookmarkStart w:id="35" w:name="_Hlk85622126"/>
      <w:r>
        <w:t xml:space="preserve">As part of the development of the Future Gas Strategy the Government commissioned a report by </w:t>
      </w:r>
      <w:r w:rsidRPr="001D4AEB">
        <w:t xml:space="preserve">Oakley Greenwood to provide advice on what the future of gas in Tasmania could look. </w:t>
      </w:r>
    </w:p>
    <w:bookmarkEnd w:id="35"/>
    <w:p w14:paraId="0D461F1A" w14:textId="7E274EEF" w:rsidR="00DC6D96" w:rsidRPr="001D4AEB" w:rsidRDefault="00DC6D96" w:rsidP="00DC6D96">
      <w:pPr>
        <w:pStyle w:val="BodyText"/>
      </w:pPr>
      <w:r w:rsidRPr="001D4AEB">
        <w:t>Oakley Greenwood are experts in the gas sector and have extensive experience providing advice to government and industry on a range of areas related to gas. T</w:t>
      </w:r>
      <w:r w:rsidRPr="001D4AEB">
        <w:rPr>
          <w:lang w:val="en-US"/>
        </w:rPr>
        <w:t xml:space="preserve">he report is not representative of any final positions the Government will adopt, rather it is published to assist and support discussion and feedback on the issues. </w:t>
      </w:r>
      <w:r w:rsidRPr="001D4AEB">
        <w:t>If you wish to read more, a full copy of the report has been made available with this Discussion Paper</w:t>
      </w:r>
      <w:r w:rsidR="005E2C67">
        <w:t xml:space="preserve"> on the </w:t>
      </w:r>
      <w:r w:rsidR="002A3B8A">
        <w:t xml:space="preserve">ReCFIT </w:t>
      </w:r>
      <w:r w:rsidR="005E2C67">
        <w:t>web</w:t>
      </w:r>
      <w:r w:rsidR="001066B8">
        <w:t>site</w:t>
      </w:r>
      <w:r w:rsidR="005E2C67">
        <w:t>.</w:t>
      </w:r>
    </w:p>
    <w:p w14:paraId="5623DB2C" w14:textId="77777777" w:rsidR="00DC6D96" w:rsidRPr="001D4AEB" w:rsidRDefault="00DC6D96" w:rsidP="00DC6D96">
      <w:pPr>
        <w:pStyle w:val="BodyText"/>
      </w:pPr>
      <w:r w:rsidRPr="001D4AEB">
        <w:t>The report notes three possible options for the future of gas in Tasmania:</w:t>
      </w:r>
    </w:p>
    <w:p w14:paraId="389BFFB3" w14:textId="77777777" w:rsidR="00DC6D96" w:rsidRPr="001D4AEB" w:rsidRDefault="00DC6D96" w:rsidP="00DC6D96">
      <w:pPr>
        <w:pStyle w:val="ListBullet"/>
        <w:numPr>
          <w:ilvl w:val="0"/>
          <w:numId w:val="20"/>
        </w:numPr>
        <w:suppressAutoHyphens/>
        <w:spacing w:before="120" w:after="120" w:line="280" w:lineRule="exact"/>
        <w:rPr>
          <w:sz w:val="22"/>
          <w:szCs w:val="22"/>
        </w:rPr>
      </w:pPr>
      <w:r w:rsidRPr="001D4AEB">
        <w:rPr>
          <w:sz w:val="22"/>
          <w:szCs w:val="22"/>
        </w:rPr>
        <w:t>a ‘do nothing’ approach</w:t>
      </w:r>
    </w:p>
    <w:p w14:paraId="53AD5243" w14:textId="77777777" w:rsidR="00DC6D96" w:rsidRPr="001D4AEB" w:rsidRDefault="00DC6D96" w:rsidP="00DC6D96">
      <w:pPr>
        <w:pStyle w:val="ListBullet"/>
        <w:numPr>
          <w:ilvl w:val="0"/>
          <w:numId w:val="20"/>
        </w:numPr>
        <w:suppressAutoHyphens/>
        <w:spacing w:before="120" w:after="120" w:line="280" w:lineRule="exact"/>
        <w:rPr>
          <w:sz w:val="22"/>
          <w:szCs w:val="22"/>
        </w:rPr>
      </w:pPr>
      <w:r w:rsidRPr="001D4AEB">
        <w:rPr>
          <w:sz w:val="22"/>
          <w:szCs w:val="22"/>
        </w:rPr>
        <w:t>growth in natural gas</w:t>
      </w:r>
    </w:p>
    <w:p w14:paraId="3B39C52F" w14:textId="77777777" w:rsidR="00DC6D96" w:rsidRPr="001D4AEB" w:rsidRDefault="00DC6D96" w:rsidP="00DC6D96">
      <w:pPr>
        <w:pStyle w:val="ListBullet"/>
        <w:numPr>
          <w:ilvl w:val="0"/>
          <w:numId w:val="20"/>
        </w:numPr>
        <w:suppressAutoHyphens/>
        <w:spacing w:before="120" w:after="0"/>
        <w:rPr>
          <w:sz w:val="22"/>
          <w:szCs w:val="22"/>
        </w:rPr>
      </w:pPr>
      <w:r w:rsidRPr="001D4AEB">
        <w:rPr>
          <w:sz w:val="22"/>
          <w:szCs w:val="22"/>
        </w:rPr>
        <w:t>decarbonisation.</w:t>
      </w:r>
    </w:p>
    <w:p w14:paraId="324E64AE" w14:textId="77777777" w:rsidR="00DC6D96" w:rsidRDefault="00DC6D96" w:rsidP="00DC6D96">
      <w:pPr>
        <w:pStyle w:val="BodyText"/>
        <w:spacing w:after="0" w:line="240" w:lineRule="auto"/>
      </w:pPr>
    </w:p>
    <w:p w14:paraId="0479416E" w14:textId="77777777" w:rsidR="00DC6D96" w:rsidRDefault="00DC6D96" w:rsidP="00DC6D96">
      <w:pPr>
        <w:pStyle w:val="BodyText"/>
      </w:pPr>
      <w:r>
        <w:t>As the first two options are not consistent with both local and international policy settings, the advice focuses on the best options to decarbonise the energy use in Tasmania currently supplied by natural gas.</w:t>
      </w:r>
    </w:p>
    <w:p w14:paraId="3ACFC0C0" w14:textId="77777777" w:rsidR="00DC6D96" w:rsidRDefault="00DC6D96" w:rsidP="00DC6D96">
      <w:pPr>
        <w:rPr>
          <w:sz w:val="22"/>
          <w:szCs w:val="22"/>
        </w:rPr>
      </w:pPr>
      <w:r>
        <w:br w:type="page"/>
      </w:r>
    </w:p>
    <w:p w14:paraId="4F224A89" w14:textId="77777777" w:rsidR="00DC6D96" w:rsidRPr="001D4AEB" w:rsidRDefault="00DC6D96" w:rsidP="00DC6D96">
      <w:pPr>
        <w:pStyle w:val="BodyText"/>
      </w:pPr>
      <w:r>
        <w:lastRenderedPageBreak/>
        <w:t xml:space="preserve">The report assesses the value proposition of the different options for decarbonising the gas grid: </w:t>
      </w:r>
      <w:r w:rsidRPr="001D4AEB">
        <w:t>electrification, hydrogen and renewable methane. The advice is that electrification will be the most cost-effective transition for many users. This would include electrifying most households and some commercial customers. However, electrification may not be suitable, or may be cost prohibitive, for a range of industrial heating purposes, especially where flash heating, high temperatures, and precise control is required. For these remaining users, the advice considered three main alternatives:</w:t>
      </w:r>
    </w:p>
    <w:p w14:paraId="719239DD" w14:textId="77777777" w:rsidR="00DC6D96" w:rsidRPr="001D4AEB" w:rsidRDefault="00DC6D96" w:rsidP="00DC6D96">
      <w:pPr>
        <w:pStyle w:val="ListBullet"/>
        <w:numPr>
          <w:ilvl w:val="0"/>
          <w:numId w:val="20"/>
        </w:numPr>
        <w:suppressAutoHyphens/>
        <w:spacing w:before="120" w:after="0"/>
        <w:ind w:left="567"/>
        <w:rPr>
          <w:sz w:val="22"/>
          <w:szCs w:val="22"/>
        </w:rPr>
      </w:pPr>
      <w:r w:rsidRPr="001D4AEB">
        <w:rPr>
          <w:sz w:val="22"/>
          <w:szCs w:val="22"/>
        </w:rPr>
        <w:t>renewable hydrogen</w:t>
      </w:r>
    </w:p>
    <w:p w14:paraId="11C2DA29" w14:textId="77777777" w:rsidR="00DC6D96" w:rsidRPr="001D4AEB" w:rsidRDefault="00DC6D96" w:rsidP="00DC6D96">
      <w:pPr>
        <w:pStyle w:val="ListBullet"/>
        <w:numPr>
          <w:ilvl w:val="0"/>
          <w:numId w:val="20"/>
        </w:numPr>
        <w:suppressAutoHyphens/>
        <w:spacing w:before="120" w:after="0"/>
        <w:ind w:left="567"/>
        <w:rPr>
          <w:sz w:val="22"/>
          <w:szCs w:val="22"/>
        </w:rPr>
      </w:pPr>
      <w:r w:rsidRPr="001D4AEB">
        <w:rPr>
          <w:sz w:val="22"/>
          <w:szCs w:val="22"/>
        </w:rPr>
        <w:t>biogas</w:t>
      </w:r>
    </w:p>
    <w:p w14:paraId="7B380892" w14:textId="77777777" w:rsidR="00DC6D96" w:rsidRPr="001D4AEB" w:rsidRDefault="00DC6D96" w:rsidP="00DC6D96">
      <w:pPr>
        <w:pStyle w:val="ListBullet"/>
        <w:numPr>
          <w:ilvl w:val="0"/>
          <w:numId w:val="20"/>
        </w:numPr>
        <w:suppressAutoHyphens/>
        <w:spacing w:before="120" w:after="0"/>
        <w:ind w:left="567"/>
        <w:rPr>
          <w:sz w:val="22"/>
          <w:szCs w:val="22"/>
        </w:rPr>
      </w:pPr>
      <w:r w:rsidRPr="001D4AEB">
        <w:rPr>
          <w:sz w:val="22"/>
          <w:szCs w:val="22"/>
        </w:rPr>
        <w:t>renewable/synthetic methane.</w:t>
      </w:r>
    </w:p>
    <w:p w14:paraId="2FADB34A" w14:textId="77777777" w:rsidR="00DC6D96" w:rsidRPr="001D4AEB" w:rsidRDefault="00DC6D96" w:rsidP="00DC6D96">
      <w:pPr>
        <w:pStyle w:val="BodyText"/>
        <w:spacing w:after="0"/>
      </w:pPr>
    </w:p>
    <w:p w14:paraId="35C3E73D" w14:textId="77777777" w:rsidR="00DC6D96" w:rsidRPr="001D4AEB" w:rsidRDefault="00DC6D96" w:rsidP="00DC6D96">
      <w:pPr>
        <w:pStyle w:val="BodyText"/>
      </w:pPr>
      <w:r w:rsidRPr="001D4AEB">
        <w:t xml:space="preserve">The best long-term choice is not clear today and each technology has its challenges. The Government is interested in hearing your views on the best path forward, including what role the Government should play in supporting the transition.  </w:t>
      </w:r>
    </w:p>
    <w:p w14:paraId="378AE255" w14:textId="77777777" w:rsidR="00DC6D96" w:rsidRPr="006055D5" w:rsidRDefault="00DC6D96" w:rsidP="00DC6D96">
      <w:pPr>
        <w:pStyle w:val="BodyText"/>
      </w:pPr>
    </w:p>
    <w:p w14:paraId="6619A22E" w14:textId="77777777" w:rsidR="00DC6D96" w:rsidRPr="00271D64" w:rsidRDefault="00DC6D96" w:rsidP="000D420B">
      <w:pPr>
        <w:pStyle w:val="BodyText"/>
        <w:keepLines/>
        <w:rPr>
          <w:rStyle w:val="BodytextBold"/>
          <w:sz w:val="32"/>
          <w:szCs w:val="32"/>
        </w:rPr>
      </w:pPr>
      <w:r w:rsidRPr="00271D64">
        <w:rPr>
          <w:rStyle w:val="BodytextBold"/>
          <w:sz w:val="32"/>
          <w:szCs w:val="32"/>
        </w:rPr>
        <w:t xml:space="preserve">Hydrogen </w:t>
      </w:r>
    </w:p>
    <w:p w14:paraId="006FAD9C" w14:textId="77777777" w:rsidR="00DC6D96" w:rsidRDefault="00DC6D96" w:rsidP="000D420B">
      <w:pPr>
        <w:pStyle w:val="BodyText"/>
        <w:keepLines/>
      </w:pPr>
      <w:r>
        <w:t>Renewable energy can be used to electrolyse water to produce hydrogen and oxygen. Hydrogen produced in this way is commonly termed renewable hydrogen or ‘green hydrogen’ and has no carbon emissions associated with its production or use.</w:t>
      </w:r>
    </w:p>
    <w:p w14:paraId="5763E68E" w14:textId="77777777" w:rsidR="00DC6D96" w:rsidRDefault="00DC6D96" w:rsidP="000D420B">
      <w:pPr>
        <w:pStyle w:val="BodyText"/>
        <w:keepLines/>
      </w:pPr>
      <w:r>
        <w:t xml:space="preserve">Hydrogen can be blended with natural gas or used in place of natural gas for a range of uses including heating in homes and businesses, in heavy industry, for electricity generation and as a chemical feedstock. </w:t>
      </w:r>
    </w:p>
    <w:p w14:paraId="2E90A7DC" w14:textId="77777777" w:rsidR="00DC6D96" w:rsidRDefault="00DC6D96" w:rsidP="000D420B">
      <w:pPr>
        <w:pStyle w:val="BodyText"/>
        <w:keepLines/>
      </w:pPr>
      <w:r w:rsidRPr="008E7BCB">
        <w:t>Tasmania</w:t>
      </w:r>
      <w:r>
        <w:t xml:space="preserve"> has an advantage in that its relatively new gas distribution network is compatible with hydrogen and could potentially allow for hydrogen gas blends of up to 100 per cent. This may not be possible in older steel-based gas networks, such as Tasmania’s main transmission network.  </w:t>
      </w:r>
    </w:p>
    <w:p w14:paraId="7E8472CB" w14:textId="77777777" w:rsidR="00DC6D96" w:rsidRDefault="00DC6D96" w:rsidP="000D420B">
      <w:pPr>
        <w:pStyle w:val="BodyText"/>
        <w:keepLines/>
      </w:pPr>
      <w:r w:rsidRPr="008E7BCB">
        <w:t xml:space="preserve">There are </w:t>
      </w:r>
      <w:r>
        <w:t xml:space="preserve">also significant technical and regulatory challenges associated with blending hydrogen into gas networks that will require further investigation. If hydrogen is blended into the natural gas network, particularly at high levels, the costs necessary to convert pipelines, meters and end use appliances will need to be considered. </w:t>
      </w:r>
    </w:p>
    <w:p w14:paraId="3A34C7B6" w14:textId="77777777" w:rsidR="00DC6D96" w:rsidRDefault="00DC6D96" w:rsidP="00036D3B">
      <w:pPr>
        <w:pStyle w:val="BodyText"/>
        <w:rPr>
          <w:u w:val="single"/>
        </w:rPr>
      </w:pPr>
    </w:p>
    <w:p w14:paraId="15DE7599" w14:textId="77777777" w:rsidR="00DC6D96" w:rsidRPr="00271D64" w:rsidRDefault="00DC6D96" w:rsidP="000D420B">
      <w:pPr>
        <w:pStyle w:val="BodyText"/>
        <w:rPr>
          <w:rStyle w:val="BodytextBold"/>
          <w:sz w:val="32"/>
          <w:szCs w:val="32"/>
        </w:rPr>
      </w:pPr>
      <w:r w:rsidRPr="00271D64">
        <w:rPr>
          <w:rStyle w:val="BodytextBold"/>
          <w:sz w:val="32"/>
          <w:szCs w:val="32"/>
        </w:rPr>
        <w:t xml:space="preserve">Biogas </w:t>
      </w:r>
    </w:p>
    <w:p w14:paraId="12523851" w14:textId="77777777" w:rsidR="00DC6D96" w:rsidRDefault="00DC6D96" w:rsidP="000D420B">
      <w:pPr>
        <w:pStyle w:val="BodyText"/>
      </w:pPr>
      <w:r>
        <w:t xml:space="preserve">Biogas is also predominantly methane and can be produced from raw materials such as waste from agricultural, municipal, and forestry sources, including sewage, garden and food organics, sawdust, straw, and manufacturing organic waste. Biogas emits net zero carbon emissions and is classified as part of the natural carbon cycle under the Australian National Greenhouse Gas Accounting Framework. </w:t>
      </w:r>
    </w:p>
    <w:p w14:paraId="774724B5" w14:textId="77777777" w:rsidR="00DC6D96" w:rsidRDefault="00DC6D96" w:rsidP="000D420B">
      <w:pPr>
        <w:pStyle w:val="BodyText"/>
      </w:pPr>
      <w:bookmarkStart w:id="36" w:name="_Hlk78898485"/>
      <w:r>
        <w:t xml:space="preserve">Biogas is a source of energy that can be converted into heat, electricity, or transport fuels. Biogas can be burned in boilers </w:t>
      </w:r>
      <w:r w:rsidRPr="00BD1251">
        <w:rPr>
          <w:color w:val="000000" w:themeColor="text1"/>
        </w:rPr>
        <w:t xml:space="preserve">or reciprocating engines </w:t>
      </w:r>
      <w:r>
        <w:t xml:space="preserve">behind the meter to provide energy to industrial processes. Biogas can also be upgraded into methane (by removing carbon dioxide and other </w:t>
      </w:r>
      <w:bookmarkEnd w:id="36"/>
      <w:r>
        <w:t>gases), which is the same molecule as natural gas. Biomethane can therefore be directly substituted for natural gas and injected into the gas grid and serve several uses for consumers such as heating, industrial purposes, or fuel for gas vehicles.</w:t>
      </w:r>
    </w:p>
    <w:p w14:paraId="7F58372D" w14:textId="77777777" w:rsidR="00DC6D96" w:rsidRDefault="00DC6D96" w:rsidP="00036D3B">
      <w:pPr>
        <w:pStyle w:val="BodyText"/>
        <w:rPr>
          <w:u w:val="single"/>
        </w:rPr>
      </w:pPr>
    </w:p>
    <w:p w14:paraId="7649AA43" w14:textId="77777777" w:rsidR="00DC6D96" w:rsidRPr="00271D64" w:rsidRDefault="00DC6D96" w:rsidP="000D420B">
      <w:pPr>
        <w:pStyle w:val="BodyText"/>
        <w:rPr>
          <w:rStyle w:val="BodytextBold"/>
          <w:sz w:val="32"/>
          <w:szCs w:val="32"/>
        </w:rPr>
      </w:pPr>
      <w:r w:rsidRPr="00271D64">
        <w:rPr>
          <w:rStyle w:val="BodytextBold"/>
          <w:sz w:val="32"/>
          <w:szCs w:val="32"/>
        </w:rPr>
        <w:lastRenderedPageBreak/>
        <w:t>Renewable methane</w:t>
      </w:r>
    </w:p>
    <w:p w14:paraId="0315C25B" w14:textId="77777777" w:rsidR="00DC6D96" w:rsidRPr="001D4AEB" w:rsidRDefault="00DC6D96" w:rsidP="000D420B">
      <w:pPr>
        <w:pStyle w:val="ListBullet"/>
        <w:numPr>
          <w:ilvl w:val="0"/>
          <w:numId w:val="0"/>
        </w:numPr>
        <w:rPr>
          <w:sz w:val="22"/>
          <w:szCs w:val="22"/>
        </w:rPr>
      </w:pPr>
      <w:r w:rsidRPr="001D4AEB">
        <w:rPr>
          <w:sz w:val="22"/>
          <w:szCs w:val="22"/>
        </w:rPr>
        <w:t xml:space="preserve">Methane is already the principal constituent of natural gas but is currently derived from fossil fuels. </w:t>
      </w:r>
    </w:p>
    <w:p w14:paraId="74CDD3D4" w14:textId="77777777" w:rsidR="00DC6D96" w:rsidRPr="001D4AEB" w:rsidRDefault="00DC6D96" w:rsidP="000D420B">
      <w:pPr>
        <w:pStyle w:val="BodyText"/>
      </w:pPr>
      <w:r w:rsidRPr="001D4AEB">
        <w:t>Producing renewable methane involves a further step to hydrogen electrolysis to extract carbon from the air and form methane (CH</w:t>
      </w:r>
      <w:r w:rsidRPr="001D4AEB">
        <w:rPr>
          <w:vertAlign w:val="subscript"/>
        </w:rPr>
        <w:t>3</w:t>
      </w:r>
      <w:r w:rsidRPr="001D4AEB">
        <w:t>). This technology is still in the relatively early stages of development.</w:t>
      </w:r>
    </w:p>
    <w:p w14:paraId="174463C2" w14:textId="77777777" w:rsidR="00DC6D96" w:rsidRPr="001D4AEB" w:rsidRDefault="00DC6D96" w:rsidP="000D420B">
      <w:pPr>
        <w:pStyle w:val="BodyText"/>
      </w:pPr>
      <w:r w:rsidRPr="001D4AEB">
        <w:t xml:space="preserve">Renewable methane may have some advantages over hydrogen as a replacement fuel for natural gas. Methane is already the principal constituent of natural gas and therefore converting to renewable methane has much lower conversion costs as existing appliances can be used. It may also be injected into steel transmission pipelines (such as TGP). </w:t>
      </w:r>
    </w:p>
    <w:p w14:paraId="35B3B7B5" w14:textId="77777777" w:rsidR="00DC6D96" w:rsidRPr="001D4AEB" w:rsidRDefault="00DC6D96" w:rsidP="000D420B">
      <w:pPr>
        <w:pStyle w:val="BodyText"/>
      </w:pPr>
      <w:r w:rsidRPr="001D4AEB">
        <w:t>The commodity cost of renewable methane however is likely to always be higher than hydrogen given that it involves an additional process using additional energy.</w:t>
      </w:r>
    </w:p>
    <w:p w14:paraId="4A9B775D" w14:textId="77777777" w:rsidR="00DC6D96" w:rsidRDefault="00DC6D96" w:rsidP="00036D3B">
      <w:pPr>
        <w:pStyle w:val="BodyText"/>
        <w:rPr>
          <w:u w:val="single"/>
        </w:rPr>
      </w:pPr>
    </w:p>
    <w:p w14:paraId="493F181B" w14:textId="77777777" w:rsidR="00DC6D96" w:rsidRPr="00271D64" w:rsidRDefault="00DC6D96" w:rsidP="000D420B">
      <w:pPr>
        <w:pStyle w:val="BodyText"/>
        <w:rPr>
          <w:sz w:val="32"/>
          <w:szCs w:val="32"/>
          <w:u w:val="single"/>
        </w:rPr>
      </w:pPr>
      <w:r w:rsidRPr="00271D64">
        <w:rPr>
          <w:rStyle w:val="BodytextBold"/>
          <w:sz w:val="32"/>
          <w:szCs w:val="32"/>
        </w:rPr>
        <w:t xml:space="preserve">Electrification </w:t>
      </w:r>
    </w:p>
    <w:p w14:paraId="148C9E2D" w14:textId="7838414F" w:rsidR="00DC6D96" w:rsidRDefault="00DC6D96" w:rsidP="000D420B">
      <w:pPr>
        <w:pStyle w:val="BodyText"/>
      </w:pPr>
      <w:r>
        <w:t xml:space="preserve">Given Tasmania </w:t>
      </w:r>
      <w:r w:rsidRPr="005C44DE">
        <w:t xml:space="preserve">has met its target </w:t>
      </w:r>
      <w:r>
        <w:t>to be</w:t>
      </w:r>
      <w:r w:rsidRPr="005C44DE">
        <w:t xml:space="preserve"> 100 per cent self</w:t>
      </w:r>
      <w:r>
        <w:t>-</w:t>
      </w:r>
      <w:r w:rsidRPr="005C44DE">
        <w:t xml:space="preserve">sufficient in renewable </w:t>
      </w:r>
      <w:r>
        <w:t xml:space="preserve">electricity generation, electrification provides another pathway to </w:t>
      </w:r>
      <w:r w:rsidR="00036D3B">
        <w:t>switch to lower emissions energy sources</w:t>
      </w:r>
      <w:r>
        <w:t xml:space="preserve">. </w:t>
      </w:r>
    </w:p>
    <w:p w14:paraId="719CDA12" w14:textId="77777777" w:rsidR="00DC6D96" w:rsidRDefault="00DC6D96" w:rsidP="000D420B">
      <w:pPr>
        <w:pStyle w:val="BodyText"/>
      </w:pPr>
      <w:r>
        <w:t>While a</w:t>
      </w:r>
      <w:r w:rsidRPr="006A2F3B">
        <w:t xml:space="preserve">n electrification strategy </w:t>
      </w:r>
      <w:r>
        <w:t>would incr</w:t>
      </w:r>
      <w:r w:rsidRPr="006A2F3B">
        <w:t>e</w:t>
      </w:r>
      <w:r>
        <w:t>a</w:t>
      </w:r>
      <w:r w:rsidRPr="006A2F3B">
        <w:t>s</w:t>
      </w:r>
      <w:r>
        <w:t xml:space="preserve">e </w:t>
      </w:r>
      <w:r w:rsidRPr="006A2F3B">
        <w:t xml:space="preserve">electricity load </w:t>
      </w:r>
      <w:r>
        <w:t xml:space="preserve">in Tasmania, the TRET </w:t>
      </w:r>
      <w:r w:rsidRPr="000A0528">
        <w:t xml:space="preserve">is expected to drive </w:t>
      </w:r>
      <w:r>
        <w:t xml:space="preserve">further uptake of renewable energy so that by 2040 </w:t>
      </w:r>
      <w:r w:rsidRPr="005C44DE">
        <w:t xml:space="preserve">Tasmania will </w:t>
      </w:r>
      <w:r>
        <w:t xml:space="preserve">be </w:t>
      </w:r>
      <w:r w:rsidRPr="005C44DE">
        <w:t>produc</w:t>
      </w:r>
      <w:r>
        <w:t>ing</w:t>
      </w:r>
      <w:r w:rsidRPr="005C44DE">
        <w:t xml:space="preserve"> twice as much renewable electricity as </w:t>
      </w:r>
      <w:r>
        <w:t xml:space="preserve">its </w:t>
      </w:r>
      <w:r w:rsidRPr="005C44DE">
        <w:t>10</w:t>
      </w:r>
      <w:r>
        <w:t xml:space="preserve"> </w:t>
      </w:r>
      <w:r w:rsidRPr="005C44DE">
        <w:t>500 GWh baseline.</w:t>
      </w:r>
    </w:p>
    <w:p w14:paraId="2966C772" w14:textId="77777777" w:rsidR="00DC6D96" w:rsidRDefault="00DC6D96" w:rsidP="000D420B">
      <w:pPr>
        <w:pStyle w:val="BodyText"/>
      </w:pPr>
      <w:r>
        <w:t xml:space="preserve">Switching from gas appliances to electricity is likely to have efficiency benefits, particularly for households and businesses who use gas for space heating, hot water and cooking, noting that there will be associated conversion costs. </w:t>
      </w:r>
    </w:p>
    <w:p w14:paraId="66FE3142" w14:textId="77777777" w:rsidR="00DC6D96" w:rsidRDefault="00DC6D96" w:rsidP="000D420B">
      <w:pPr>
        <w:pStyle w:val="BodyText"/>
      </w:pPr>
      <w:r>
        <w:t>E</w:t>
      </w:r>
      <w:r w:rsidRPr="00360183">
        <w:t>lectrification</w:t>
      </w:r>
      <w:r>
        <w:t xml:space="preserve"> however</w:t>
      </w:r>
      <w:r w:rsidRPr="00360183">
        <w:t xml:space="preserve"> </w:t>
      </w:r>
      <w:r>
        <w:t>is not an appropriate substitute</w:t>
      </w:r>
      <w:r w:rsidRPr="00360183">
        <w:t xml:space="preserve"> for a range of industrial heating purposes especially where flash heating, high temperatures and precise control </w:t>
      </w:r>
      <w:r>
        <w:t>are</w:t>
      </w:r>
      <w:r w:rsidRPr="00360183">
        <w:t xml:space="preserve"> required. </w:t>
      </w:r>
    </w:p>
    <w:p w14:paraId="6EEFA407" w14:textId="77777777" w:rsidR="00DC6D96" w:rsidRDefault="00DC6D96" w:rsidP="00DC6D96">
      <w:pPr>
        <w:rPr>
          <w:rFonts w:ascii="GILL SANS SEMIBOLD" w:hAnsi="GILL SANS SEMIBOLD" w:cs="Gill Sans Nova Medium"/>
          <w:b/>
          <w:color w:val="1C1F4D"/>
          <w:sz w:val="56"/>
          <w:szCs w:val="26"/>
          <w:lang w:val="en-GB"/>
        </w:rPr>
      </w:pPr>
      <w:r>
        <w:br w:type="page"/>
      </w:r>
    </w:p>
    <w:p w14:paraId="7A748E89" w14:textId="77777777" w:rsidR="00DC6D96" w:rsidRDefault="00DC6D96" w:rsidP="00DC6D96">
      <w:pPr>
        <w:pStyle w:val="Heading1RT"/>
      </w:pPr>
      <w:bookmarkStart w:id="37" w:name="_Toc86219873"/>
      <w:r w:rsidRPr="007B589E">
        <w:lastRenderedPageBreak/>
        <w:t>Have</w:t>
      </w:r>
      <w:r>
        <w:t xml:space="preserve"> your say</w:t>
      </w:r>
      <w:bookmarkEnd w:id="37"/>
    </w:p>
    <w:p w14:paraId="648D107C" w14:textId="77777777" w:rsidR="00DC6D96" w:rsidRPr="00452919" w:rsidRDefault="00DC6D96" w:rsidP="00DC6D96">
      <w:pPr>
        <w:pStyle w:val="BodyText"/>
      </w:pPr>
      <w:r w:rsidRPr="00294547">
        <w:t xml:space="preserve">The </w:t>
      </w:r>
      <w:r>
        <w:t xml:space="preserve">Tasmanian Government </w:t>
      </w:r>
      <w:r w:rsidRPr="00294547">
        <w:t xml:space="preserve">welcomes </w:t>
      </w:r>
      <w:r w:rsidRPr="00CA2B5F">
        <w:t>evidence-based</w:t>
      </w:r>
      <w:r w:rsidRPr="00294547">
        <w:t xml:space="preserve"> submissions or comments from all interested </w:t>
      </w:r>
      <w:r w:rsidRPr="00452919">
        <w:t xml:space="preserve">parties on any matter within the scope of this Discussion Paper. To assist with the preparation of submissions, we have included questions relating to important issues of particular interest to us.  Refer to “Prompts for discussion” on the following page. </w:t>
      </w:r>
    </w:p>
    <w:p w14:paraId="12BE427C" w14:textId="77777777" w:rsidR="00DC6D96" w:rsidRPr="00452919" w:rsidRDefault="00DC6D96" w:rsidP="00DC6D96">
      <w:pPr>
        <w:pStyle w:val="BodyText"/>
      </w:pPr>
      <w:r w:rsidRPr="00452919">
        <w:t xml:space="preserve">Respondents need not feel obliged to comment on all questions, as we will also welcome responses to selected questions. </w:t>
      </w:r>
    </w:p>
    <w:p w14:paraId="280955EE" w14:textId="7E1ECDBE" w:rsidR="00DC6D96" w:rsidRPr="00452919" w:rsidRDefault="00DC6D96" w:rsidP="00DC6D96">
      <w:pPr>
        <w:pStyle w:val="BodyText"/>
      </w:pPr>
      <w:r w:rsidRPr="00452919">
        <w:t xml:space="preserve">Please note that to promote transparency, we intend to publish submissions on the </w:t>
      </w:r>
      <w:r w:rsidR="002A3B8A">
        <w:t>ReCFIT</w:t>
      </w:r>
      <w:r w:rsidRPr="00452919">
        <w:t xml:space="preserve"> web</w:t>
      </w:r>
      <w:r w:rsidR="001066B8">
        <w:t>site</w:t>
      </w:r>
      <w:r w:rsidRPr="00452919">
        <w:t xml:space="preserve">. </w:t>
      </w:r>
      <w:r w:rsidR="002A3B8A">
        <w:t>ReCFIT</w:t>
      </w:r>
      <w:r w:rsidR="002A3B8A" w:rsidRPr="00452919">
        <w:t xml:space="preserve"> </w:t>
      </w:r>
      <w:r w:rsidRPr="00452919">
        <w:t>may decline to publish certain submissions (or parts of submissions) where there are issues concerning appropriateness or confidentiality. If the author of a submission wishes to claim confidentiality in relation to a submission or a part of a submission, this should be clearly indicated and justified, and will be respected. Where only parts of a submission are requested to be confidential, they should be submitted as an attachment to that part suitable for publication.</w:t>
      </w:r>
    </w:p>
    <w:p w14:paraId="7082C5BE" w14:textId="77777777" w:rsidR="006F4C78" w:rsidRDefault="00DC6D96" w:rsidP="00DC6D96">
      <w:pPr>
        <w:rPr>
          <w:sz w:val="22"/>
          <w:szCs w:val="22"/>
        </w:rPr>
      </w:pPr>
      <w:r w:rsidRPr="00452919">
        <w:rPr>
          <w:sz w:val="22"/>
          <w:szCs w:val="22"/>
        </w:rPr>
        <w:t>To facilitate the publication of submissions on the website, submissions should be electronic where possible.</w:t>
      </w:r>
    </w:p>
    <w:p w14:paraId="7B82841C" w14:textId="77777777" w:rsidR="006F4C78" w:rsidRDefault="006F4C78" w:rsidP="00DC6D96">
      <w:pPr>
        <w:rPr>
          <w:sz w:val="22"/>
          <w:szCs w:val="22"/>
        </w:rPr>
      </w:pPr>
    </w:p>
    <w:p w14:paraId="09325EDC" w14:textId="4CBBE13B" w:rsidR="00DC6D96" w:rsidRPr="006F4C78" w:rsidRDefault="00DC6D96" w:rsidP="00DC6D96">
      <w:pPr>
        <w:rPr>
          <w:b/>
          <w:bCs/>
          <w:sz w:val="22"/>
          <w:szCs w:val="22"/>
        </w:rPr>
      </w:pPr>
      <w:r w:rsidRPr="006F4C78">
        <w:rPr>
          <w:b/>
          <w:bCs/>
          <w:sz w:val="22"/>
          <w:szCs w:val="22"/>
        </w:rPr>
        <w:t xml:space="preserve">Submissions should be lodged by </w:t>
      </w:r>
      <w:r w:rsidR="003F5F32" w:rsidRPr="006F4C78">
        <w:rPr>
          <w:b/>
          <w:bCs/>
          <w:sz w:val="22"/>
          <w:szCs w:val="22"/>
        </w:rPr>
        <w:t xml:space="preserve">close of business on </w:t>
      </w:r>
      <w:r w:rsidR="00016DC8">
        <w:rPr>
          <w:b/>
          <w:bCs/>
          <w:sz w:val="22"/>
          <w:szCs w:val="22"/>
        </w:rPr>
        <w:t>21 January 2022</w:t>
      </w:r>
      <w:r w:rsidRPr="006F4C78">
        <w:rPr>
          <w:b/>
          <w:bCs/>
          <w:sz w:val="22"/>
          <w:szCs w:val="22"/>
        </w:rPr>
        <w:t xml:space="preserve"> and emailed to:</w:t>
      </w:r>
    </w:p>
    <w:p w14:paraId="6C6DD7C4" w14:textId="77777777" w:rsidR="00DC6D96" w:rsidRPr="00452919" w:rsidRDefault="00DC6D96" w:rsidP="00DC6D96">
      <w:pPr>
        <w:rPr>
          <w:sz w:val="22"/>
          <w:szCs w:val="22"/>
        </w:rPr>
      </w:pPr>
    </w:p>
    <w:p w14:paraId="4CFB5CBC" w14:textId="77777777" w:rsidR="00DC6D96" w:rsidRPr="00452919" w:rsidRDefault="00DC6D96" w:rsidP="00DC6D96">
      <w:pPr>
        <w:rPr>
          <w:sz w:val="22"/>
          <w:szCs w:val="22"/>
        </w:rPr>
      </w:pPr>
      <w:bookmarkStart w:id="38" w:name="_Hlk85618294"/>
      <w:r w:rsidRPr="00470405">
        <w:rPr>
          <w:sz w:val="22"/>
          <w:szCs w:val="22"/>
        </w:rPr>
        <w:t>renewableenergy@stategrowth.tas.gov.au</w:t>
      </w:r>
    </w:p>
    <w:bookmarkEnd w:id="38"/>
    <w:p w14:paraId="62216CBD" w14:textId="77777777" w:rsidR="00DC6D96" w:rsidRPr="00452919" w:rsidRDefault="00DC6D96" w:rsidP="00DC6D96">
      <w:pPr>
        <w:rPr>
          <w:sz w:val="22"/>
          <w:szCs w:val="22"/>
        </w:rPr>
      </w:pPr>
    </w:p>
    <w:p w14:paraId="375583B3" w14:textId="77777777" w:rsidR="00DC6D96" w:rsidRPr="00452919" w:rsidRDefault="00DC6D96" w:rsidP="00DC6D96">
      <w:pPr>
        <w:rPr>
          <w:sz w:val="22"/>
          <w:szCs w:val="22"/>
        </w:rPr>
      </w:pPr>
      <w:r w:rsidRPr="00452919">
        <w:rPr>
          <w:sz w:val="22"/>
          <w:szCs w:val="22"/>
        </w:rPr>
        <w:t xml:space="preserve">or marked confidential and posted to: </w:t>
      </w:r>
    </w:p>
    <w:p w14:paraId="66AA3939" w14:textId="77777777" w:rsidR="00DC6D96" w:rsidRPr="00452919" w:rsidRDefault="00DC6D96" w:rsidP="00DC6D96">
      <w:pPr>
        <w:rPr>
          <w:sz w:val="22"/>
          <w:szCs w:val="22"/>
        </w:rPr>
      </w:pPr>
    </w:p>
    <w:p w14:paraId="5BEEB902" w14:textId="65E937BB" w:rsidR="002A3B8A" w:rsidRDefault="002A3B8A" w:rsidP="00470405">
      <w:pPr>
        <w:rPr>
          <w:sz w:val="22"/>
          <w:szCs w:val="22"/>
        </w:rPr>
      </w:pPr>
      <w:bookmarkStart w:id="39" w:name="_Hlk85618311"/>
      <w:r>
        <w:t>Renewables, Climate and Future Industries Tasmania</w:t>
      </w:r>
      <w:r w:rsidRPr="00452919">
        <w:rPr>
          <w:sz w:val="22"/>
          <w:szCs w:val="22"/>
        </w:rPr>
        <w:t xml:space="preserve"> </w:t>
      </w:r>
    </w:p>
    <w:bookmarkEnd w:id="39"/>
    <w:p w14:paraId="7F2543DA" w14:textId="77777777" w:rsidR="00470405" w:rsidRDefault="00470405" w:rsidP="00470405">
      <w:pPr>
        <w:pStyle w:val="BodyText"/>
        <w:spacing w:after="0"/>
      </w:pPr>
      <w:r w:rsidRPr="00470405">
        <w:t>GPO Box 147</w:t>
      </w:r>
    </w:p>
    <w:p w14:paraId="002C92B2" w14:textId="61FB4224" w:rsidR="00DC6D96" w:rsidRDefault="00470405" w:rsidP="00470405">
      <w:pPr>
        <w:pStyle w:val="BodyText"/>
        <w:spacing w:after="0"/>
      </w:pPr>
      <w:r w:rsidRPr="00470405">
        <w:t>Hobart TAS 7001</w:t>
      </w:r>
    </w:p>
    <w:p w14:paraId="4904748E" w14:textId="77777777" w:rsidR="00DC6D96" w:rsidRDefault="00DC6D96" w:rsidP="00DC6D96">
      <w:pPr>
        <w:rPr>
          <w:rFonts w:asciiTheme="majorHAnsi" w:eastAsiaTheme="majorEastAsia" w:hAnsiTheme="majorHAnsi" w:cstheme="majorBidi"/>
          <w:color w:val="2F5496" w:themeColor="accent1" w:themeShade="BF"/>
          <w:sz w:val="32"/>
          <w:szCs w:val="32"/>
        </w:rPr>
      </w:pPr>
      <w:r>
        <w:rPr>
          <w:sz w:val="32"/>
          <w:szCs w:val="32"/>
        </w:rPr>
        <w:br w:type="page"/>
      </w:r>
    </w:p>
    <w:p w14:paraId="4AF846C6" w14:textId="77777777" w:rsidR="00DC6D96" w:rsidRPr="007B589E" w:rsidRDefault="00DC6D96" w:rsidP="00DC6D96">
      <w:pPr>
        <w:pStyle w:val="Headling2RT"/>
      </w:pPr>
      <w:bookmarkStart w:id="40" w:name="_Toc86219874"/>
      <w:r>
        <w:lastRenderedPageBreak/>
        <w:t>Prompts for discussion</w:t>
      </w:r>
      <w:bookmarkEnd w:id="40"/>
    </w:p>
    <w:p w14:paraId="5F9CC6F4" w14:textId="77777777" w:rsidR="00036D3B" w:rsidRPr="000D420B" w:rsidRDefault="00036D3B" w:rsidP="00036D3B">
      <w:pPr>
        <w:pStyle w:val="ListBullet"/>
        <w:numPr>
          <w:ilvl w:val="0"/>
          <w:numId w:val="0"/>
        </w:numPr>
        <w:suppressAutoHyphens/>
        <w:spacing w:before="240" w:after="120" w:line="280" w:lineRule="exact"/>
        <w:ind w:left="397" w:hanging="397"/>
        <w:rPr>
          <w:b/>
          <w:bCs/>
          <w:sz w:val="22"/>
          <w:szCs w:val="22"/>
        </w:rPr>
      </w:pPr>
      <w:r w:rsidRPr="000D420B">
        <w:rPr>
          <w:b/>
          <w:bCs/>
          <w:sz w:val="22"/>
          <w:szCs w:val="22"/>
        </w:rPr>
        <w:t xml:space="preserve">Drivers influencing our gas industry </w:t>
      </w:r>
    </w:p>
    <w:p w14:paraId="31C00454" w14:textId="603813A5" w:rsidR="00DC6D96" w:rsidRPr="00452919" w:rsidRDefault="00DC6D96" w:rsidP="00DC6D96">
      <w:pPr>
        <w:pStyle w:val="ListBullet"/>
        <w:numPr>
          <w:ilvl w:val="0"/>
          <w:numId w:val="21"/>
        </w:numPr>
        <w:tabs>
          <w:tab w:val="clear" w:pos="720"/>
          <w:tab w:val="num" w:pos="360"/>
        </w:tabs>
        <w:suppressAutoHyphens/>
        <w:spacing w:before="240" w:after="120" w:line="280" w:lineRule="exact"/>
        <w:ind w:left="360"/>
        <w:rPr>
          <w:sz w:val="22"/>
          <w:szCs w:val="22"/>
        </w:rPr>
      </w:pPr>
      <w:r w:rsidRPr="00452919">
        <w:rPr>
          <w:sz w:val="22"/>
          <w:szCs w:val="22"/>
        </w:rPr>
        <w:t xml:space="preserve">What factors do you think the need to be considered in developing a strategy for the future of gas in Tasmania? </w:t>
      </w:r>
    </w:p>
    <w:p w14:paraId="73FF8F88" w14:textId="764D9BBD" w:rsidR="00036D3B" w:rsidRDefault="00DC6D96" w:rsidP="00036D3B">
      <w:pPr>
        <w:pStyle w:val="ListParagraph"/>
        <w:numPr>
          <w:ilvl w:val="0"/>
          <w:numId w:val="21"/>
        </w:numPr>
        <w:tabs>
          <w:tab w:val="clear" w:pos="720"/>
          <w:tab w:val="num" w:pos="360"/>
        </w:tabs>
        <w:spacing w:before="240" w:after="120"/>
        <w:ind w:left="360"/>
        <w:rPr>
          <w:color w:val="000000" w:themeColor="text1"/>
        </w:rPr>
      </w:pPr>
      <w:r w:rsidRPr="00452919">
        <w:rPr>
          <w:color w:val="000000" w:themeColor="text1"/>
        </w:rPr>
        <w:t>What changes are you, or members of your industry, observing related to global and domestic market settings for fossil fuels that could potentially impact on the outlook for gas in Tasmania?</w:t>
      </w:r>
    </w:p>
    <w:p w14:paraId="34D3D70B" w14:textId="3D1D2EB8" w:rsidR="00036D3B" w:rsidRPr="000D420B" w:rsidRDefault="00036D3B" w:rsidP="00036D3B">
      <w:pPr>
        <w:pStyle w:val="ListBullet"/>
        <w:numPr>
          <w:ilvl w:val="0"/>
          <w:numId w:val="0"/>
        </w:numPr>
        <w:suppressAutoHyphens/>
        <w:spacing w:before="240" w:after="120" w:line="280" w:lineRule="exact"/>
        <w:rPr>
          <w:b/>
          <w:bCs/>
          <w:sz w:val="22"/>
          <w:szCs w:val="22"/>
        </w:rPr>
      </w:pPr>
      <w:r w:rsidRPr="000D420B">
        <w:rPr>
          <w:b/>
          <w:bCs/>
          <w:sz w:val="22"/>
          <w:szCs w:val="22"/>
        </w:rPr>
        <w:t>Who uses gas and for what?</w:t>
      </w:r>
    </w:p>
    <w:p w14:paraId="459F2342" w14:textId="1E58196B" w:rsidR="00DC6D96" w:rsidRDefault="00DC6D96" w:rsidP="00DC6D96">
      <w:pPr>
        <w:pStyle w:val="ListBullet"/>
        <w:numPr>
          <w:ilvl w:val="0"/>
          <w:numId w:val="21"/>
        </w:numPr>
        <w:tabs>
          <w:tab w:val="clear" w:pos="720"/>
          <w:tab w:val="num" w:pos="360"/>
        </w:tabs>
        <w:suppressAutoHyphens/>
        <w:spacing w:before="240" w:after="120" w:line="280" w:lineRule="exact"/>
        <w:ind w:left="360"/>
        <w:rPr>
          <w:sz w:val="22"/>
          <w:szCs w:val="22"/>
        </w:rPr>
      </w:pPr>
      <w:r w:rsidRPr="00452919">
        <w:rPr>
          <w:sz w:val="22"/>
          <w:szCs w:val="22"/>
        </w:rPr>
        <w:t>If you use gas in the home, what do you use it for? Are you connected to the natural gas network or do you have LPG delivered?</w:t>
      </w:r>
    </w:p>
    <w:p w14:paraId="1CB0515B" w14:textId="77777777" w:rsidR="00232825" w:rsidRPr="00452919" w:rsidRDefault="00232825" w:rsidP="00232825">
      <w:pPr>
        <w:pStyle w:val="ListBullet"/>
        <w:numPr>
          <w:ilvl w:val="0"/>
          <w:numId w:val="21"/>
        </w:numPr>
        <w:tabs>
          <w:tab w:val="clear" w:pos="720"/>
          <w:tab w:val="num" w:pos="360"/>
        </w:tabs>
        <w:suppressAutoHyphens/>
        <w:spacing w:before="240" w:after="120" w:line="280" w:lineRule="exact"/>
        <w:ind w:left="360"/>
        <w:rPr>
          <w:sz w:val="22"/>
          <w:szCs w:val="22"/>
        </w:rPr>
      </w:pPr>
      <w:r w:rsidRPr="00452919">
        <w:rPr>
          <w:sz w:val="22"/>
          <w:szCs w:val="22"/>
        </w:rPr>
        <w:t xml:space="preserve">If you are a business that uses gas, what industry are you in? What do you use gas for? </w:t>
      </w:r>
    </w:p>
    <w:p w14:paraId="05188215" w14:textId="36009DFB" w:rsidR="00DC6D96" w:rsidRDefault="00DC6D96" w:rsidP="00DC6D96">
      <w:pPr>
        <w:pStyle w:val="ListBullet"/>
        <w:numPr>
          <w:ilvl w:val="0"/>
          <w:numId w:val="21"/>
        </w:numPr>
        <w:tabs>
          <w:tab w:val="clear" w:pos="720"/>
          <w:tab w:val="num" w:pos="360"/>
        </w:tabs>
        <w:suppressAutoHyphens/>
        <w:spacing w:before="240" w:after="120" w:line="280" w:lineRule="exact"/>
        <w:ind w:left="360"/>
        <w:rPr>
          <w:sz w:val="22"/>
          <w:szCs w:val="22"/>
        </w:rPr>
      </w:pPr>
      <w:r w:rsidRPr="00452919" w:rsidDel="00232825">
        <w:rPr>
          <w:sz w:val="22"/>
          <w:szCs w:val="22"/>
        </w:rPr>
        <w:t xml:space="preserve">Are your gas appliances coming up for replacement? Are you considering switching to electricity or another alternative? </w:t>
      </w:r>
    </w:p>
    <w:p w14:paraId="50B9808C" w14:textId="19954AEB" w:rsidR="00036D3B" w:rsidRPr="000D420B" w:rsidRDefault="00036D3B" w:rsidP="00036D3B">
      <w:pPr>
        <w:pStyle w:val="ListBullet"/>
        <w:numPr>
          <w:ilvl w:val="0"/>
          <w:numId w:val="0"/>
        </w:numPr>
        <w:suppressAutoHyphens/>
        <w:spacing w:before="240" w:after="120" w:line="280" w:lineRule="exact"/>
        <w:rPr>
          <w:b/>
          <w:bCs/>
          <w:sz w:val="22"/>
          <w:szCs w:val="22"/>
        </w:rPr>
      </w:pPr>
      <w:r w:rsidRPr="000D420B">
        <w:rPr>
          <w:b/>
          <w:bCs/>
          <w:sz w:val="22"/>
          <w:szCs w:val="22"/>
        </w:rPr>
        <w:t>Outlook for gas</w:t>
      </w:r>
    </w:p>
    <w:p w14:paraId="5FE4C89E" w14:textId="77777777" w:rsidR="00DC6D96" w:rsidRPr="00452919" w:rsidRDefault="00DC6D96" w:rsidP="00DC6D96">
      <w:pPr>
        <w:pStyle w:val="ListBullet"/>
        <w:numPr>
          <w:ilvl w:val="0"/>
          <w:numId w:val="21"/>
        </w:numPr>
        <w:tabs>
          <w:tab w:val="clear" w:pos="720"/>
          <w:tab w:val="num" w:pos="360"/>
        </w:tabs>
        <w:suppressAutoHyphens/>
        <w:spacing w:before="240" w:after="120" w:line="280" w:lineRule="exact"/>
        <w:ind w:left="360"/>
        <w:rPr>
          <w:sz w:val="22"/>
          <w:szCs w:val="22"/>
        </w:rPr>
      </w:pPr>
      <w:r w:rsidRPr="00452919">
        <w:rPr>
          <w:sz w:val="22"/>
          <w:szCs w:val="22"/>
        </w:rPr>
        <w:t xml:space="preserve">What do you see as the key opportunities and concerns as a gas user in Tasmania? </w:t>
      </w:r>
    </w:p>
    <w:p w14:paraId="66F13F92" w14:textId="77777777" w:rsidR="00DC6D96" w:rsidRPr="00452919" w:rsidRDefault="00DC6D96" w:rsidP="00DC6D96">
      <w:pPr>
        <w:pStyle w:val="ListBullet"/>
        <w:numPr>
          <w:ilvl w:val="0"/>
          <w:numId w:val="21"/>
        </w:numPr>
        <w:tabs>
          <w:tab w:val="clear" w:pos="720"/>
          <w:tab w:val="num" w:pos="360"/>
        </w:tabs>
        <w:suppressAutoHyphens/>
        <w:spacing w:before="240" w:after="120" w:line="280" w:lineRule="exact"/>
        <w:ind w:left="360"/>
        <w:rPr>
          <w:sz w:val="22"/>
          <w:szCs w:val="22"/>
        </w:rPr>
      </w:pPr>
      <w:r w:rsidRPr="00452919">
        <w:rPr>
          <w:sz w:val="22"/>
          <w:szCs w:val="22"/>
        </w:rPr>
        <w:t>What is your view on the outlook for the pricing of gas in Tasmania?</w:t>
      </w:r>
    </w:p>
    <w:p w14:paraId="108BD8F0" w14:textId="77777777" w:rsidR="00DC6D96" w:rsidRPr="00452919" w:rsidRDefault="00DC6D96" w:rsidP="00DC6D96">
      <w:pPr>
        <w:pStyle w:val="ListBullet"/>
        <w:numPr>
          <w:ilvl w:val="0"/>
          <w:numId w:val="21"/>
        </w:numPr>
        <w:tabs>
          <w:tab w:val="clear" w:pos="720"/>
          <w:tab w:val="num" w:pos="360"/>
        </w:tabs>
        <w:suppressAutoHyphens/>
        <w:spacing w:before="240" w:after="120" w:line="280" w:lineRule="exact"/>
        <w:ind w:left="360"/>
        <w:rPr>
          <w:sz w:val="22"/>
          <w:szCs w:val="22"/>
        </w:rPr>
      </w:pPr>
      <w:r w:rsidRPr="00452919">
        <w:rPr>
          <w:sz w:val="22"/>
          <w:szCs w:val="22"/>
        </w:rPr>
        <w:t>Given the forecast supply shortfalls and reliance on importing gas, do you think there is any risk of supply of gas from mainland Australia?</w:t>
      </w:r>
    </w:p>
    <w:p w14:paraId="600E1BFE" w14:textId="71A50A3C" w:rsidR="00DC6D96" w:rsidRDefault="00DC6D96" w:rsidP="00DC6D96">
      <w:pPr>
        <w:pStyle w:val="ListBullet"/>
        <w:numPr>
          <w:ilvl w:val="0"/>
          <w:numId w:val="21"/>
        </w:numPr>
        <w:tabs>
          <w:tab w:val="clear" w:pos="720"/>
          <w:tab w:val="num" w:pos="360"/>
        </w:tabs>
        <w:suppressAutoHyphens/>
        <w:spacing w:before="240" w:after="120" w:line="280" w:lineRule="exact"/>
        <w:ind w:left="360"/>
        <w:rPr>
          <w:sz w:val="22"/>
          <w:szCs w:val="22"/>
        </w:rPr>
      </w:pPr>
      <w:r w:rsidRPr="00452919">
        <w:rPr>
          <w:sz w:val="22"/>
          <w:szCs w:val="22"/>
        </w:rPr>
        <w:t>If natural gas was unavailable in Tasmania, what would you do? Would you be considering moving to LPG, or to another alternative?</w:t>
      </w:r>
    </w:p>
    <w:p w14:paraId="63868865" w14:textId="212E6D16" w:rsidR="00036D3B" w:rsidRPr="000D420B" w:rsidRDefault="00897223" w:rsidP="00036D3B">
      <w:pPr>
        <w:pStyle w:val="ListBullet"/>
        <w:numPr>
          <w:ilvl w:val="0"/>
          <w:numId w:val="0"/>
        </w:numPr>
        <w:suppressAutoHyphens/>
        <w:spacing w:before="240" w:after="120" w:line="280" w:lineRule="exact"/>
        <w:rPr>
          <w:b/>
          <w:bCs/>
          <w:sz w:val="22"/>
          <w:szCs w:val="22"/>
        </w:rPr>
      </w:pPr>
      <w:r>
        <w:rPr>
          <w:b/>
          <w:bCs/>
          <w:sz w:val="22"/>
          <w:szCs w:val="22"/>
        </w:rPr>
        <w:t>D</w:t>
      </w:r>
      <w:r w:rsidR="00036D3B" w:rsidRPr="000D420B">
        <w:rPr>
          <w:b/>
          <w:bCs/>
          <w:sz w:val="22"/>
          <w:szCs w:val="22"/>
        </w:rPr>
        <w:t>ecarbonisation pathway</w:t>
      </w:r>
    </w:p>
    <w:p w14:paraId="4E7AD571" w14:textId="77777777" w:rsidR="00036D3B" w:rsidRDefault="00232825" w:rsidP="00036D3B">
      <w:pPr>
        <w:pStyle w:val="ListBullet"/>
        <w:numPr>
          <w:ilvl w:val="0"/>
          <w:numId w:val="21"/>
        </w:numPr>
        <w:tabs>
          <w:tab w:val="clear" w:pos="720"/>
          <w:tab w:val="num" w:pos="360"/>
        </w:tabs>
        <w:suppressAutoHyphens/>
        <w:spacing w:before="240" w:after="120" w:line="280" w:lineRule="exact"/>
        <w:ind w:left="360"/>
        <w:rPr>
          <w:sz w:val="22"/>
          <w:szCs w:val="22"/>
        </w:rPr>
      </w:pPr>
      <w:r w:rsidRPr="00452919">
        <w:rPr>
          <w:sz w:val="22"/>
          <w:szCs w:val="22"/>
        </w:rPr>
        <w:t xml:space="preserve">Should Tasmania be transitioning to a decarbonised gas network? </w:t>
      </w:r>
    </w:p>
    <w:p w14:paraId="1854D0F1" w14:textId="3C42170B" w:rsidR="00DC6D96" w:rsidRPr="00036D3B" w:rsidRDefault="00DC6D96" w:rsidP="00036D3B">
      <w:pPr>
        <w:pStyle w:val="ListBullet"/>
        <w:numPr>
          <w:ilvl w:val="0"/>
          <w:numId w:val="21"/>
        </w:numPr>
        <w:tabs>
          <w:tab w:val="clear" w:pos="720"/>
          <w:tab w:val="num" w:pos="360"/>
        </w:tabs>
        <w:suppressAutoHyphens/>
        <w:spacing w:before="240" w:after="120" w:line="280" w:lineRule="exact"/>
        <w:ind w:left="360"/>
        <w:rPr>
          <w:sz w:val="22"/>
          <w:szCs w:val="22"/>
        </w:rPr>
      </w:pPr>
      <w:r w:rsidRPr="00036D3B">
        <w:rPr>
          <w:sz w:val="22"/>
          <w:szCs w:val="22"/>
        </w:rPr>
        <w:t>If Tasmania is to transition to a decarbonised gas network what should the transition pathway look like?</w:t>
      </w:r>
    </w:p>
    <w:p w14:paraId="163B3371" w14:textId="77777777" w:rsidR="00036D3B" w:rsidRDefault="00C7449B" w:rsidP="00036D3B">
      <w:pPr>
        <w:pStyle w:val="ListBullet"/>
        <w:numPr>
          <w:ilvl w:val="0"/>
          <w:numId w:val="21"/>
        </w:numPr>
        <w:tabs>
          <w:tab w:val="clear" w:pos="720"/>
          <w:tab w:val="num" w:pos="360"/>
        </w:tabs>
        <w:suppressAutoHyphens/>
        <w:spacing w:before="240" w:after="120" w:line="280" w:lineRule="exact"/>
        <w:ind w:left="360"/>
        <w:rPr>
          <w:sz w:val="22"/>
          <w:szCs w:val="22"/>
        </w:rPr>
      </w:pPr>
      <w:r w:rsidRPr="00452919">
        <w:rPr>
          <w:sz w:val="22"/>
          <w:szCs w:val="22"/>
        </w:rPr>
        <w:t>Would a switch to a renewable fuel need to be cost-equivalent or would you be willing to pay more for a carbon free fuel?</w:t>
      </w:r>
    </w:p>
    <w:p w14:paraId="08E07616" w14:textId="48238892" w:rsidR="00DC6D96" w:rsidRPr="00036D3B" w:rsidRDefault="00DC6D96" w:rsidP="00036D3B">
      <w:pPr>
        <w:pStyle w:val="ListBullet"/>
        <w:numPr>
          <w:ilvl w:val="0"/>
          <w:numId w:val="21"/>
        </w:numPr>
        <w:tabs>
          <w:tab w:val="clear" w:pos="720"/>
          <w:tab w:val="num" w:pos="360"/>
        </w:tabs>
        <w:suppressAutoHyphens/>
        <w:spacing w:before="240" w:after="120" w:line="280" w:lineRule="exact"/>
        <w:ind w:left="360"/>
        <w:rPr>
          <w:sz w:val="22"/>
          <w:szCs w:val="22"/>
        </w:rPr>
      </w:pPr>
      <w:r w:rsidRPr="00036D3B">
        <w:rPr>
          <w:sz w:val="22"/>
          <w:szCs w:val="22"/>
        </w:rPr>
        <w:t>What risks do you see with decarbonising the Tasmanian gas network (technical, economic, social)?</w:t>
      </w:r>
    </w:p>
    <w:p w14:paraId="46E17310" w14:textId="0D1BA25D" w:rsidR="00036D3B" w:rsidRDefault="00C7449B" w:rsidP="00036D3B">
      <w:pPr>
        <w:pStyle w:val="ListBullet"/>
        <w:numPr>
          <w:ilvl w:val="0"/>
          <w:numId w:val="21"/>
        </w:numPr>
        <w:tabs>
          <w:tab w:val="clear" w:pos="720"/>
          <w:tab w:val="num" w:pos="360"/>
        </w:tabs>
        <w:suppressAutoHyphens/>
        <w:spacing w:before="240" w:after="120" w:line="280" w:lineRule="exact"/>
        <w:ind w:left="360"/>
        <w:rPr>
          <w:sz w:val="22"/>
          <w:szCs w:val="22"/>
        </w:rPr>
      </w:pPr>
      <w:r w:rsidRPr="00452919">
        <w:rPr>
          <w:sz w:val="22"/>
          <w:szCs w:val="22"/>
        </w:rPr>
        <w:t>If you are a commercial gas user in Tasmania that would not be able to switch to renewable alternatives</w:t>
      </w:r>
      <w:r>
        <w:rPr>
          <w:sz w:val="22"/>
          <w:szCs w:val="22"/>
        </w:rPr>
        <w:t>, what are the key barriers</w:t>
      </w:r>
      <w:r w:rsidRPr="00452919">
        <w:rPr>
          <w:sz w:val="22"/>
          <w:szCs w:val="22"/>
        </w:rPr>
        <w:t xml:space="preserve">? </w:t>
      </w:r>
    </w:p>
    <w:p w14:paraId="261ED6E0" w14:textId="3FD76F9B" w:rsidR="00DC6D96" w:rsidRPr="00036D3B" w:rsidRDefault="00DC6D96" w:rsidP="00036D3B">
      <w:pPr>
        <w:pStyle w:val="ListBullet"/>
        <w:numPr>
          <w:ilvl w:val="0"/>
          <w:numId w:val="21"/>
        </w:numPr>
        <w:tabs>
          <w:tab w:val="clear" w:pos="720"/>
          <w:tab w:val="num" w:pos="360"/>
        </w:tabs>
        <w:suppressAutoHyphens/>
        <w:spacing w:before="240" w:after="120" w:line="280" w:lineRule="exact"/>
        <w:ind w:left="360"/>
        <w:rPr>
          <w:sz w:val="22"/>
          <w:szCs w:val="22"/>
        </w:rPr>
      </w:pPr>
      <w:r w:rsidRPr="00036D3B">
        <w:rPr>
          <w:sz w:val="22"/>
          <w:szCs w:val="22"/>
        </w:rPr>
        <w:t xml:space="preserve">What is the role for the Tasmanian Government in a decarbonisation transition for the gas sector? What should the Government’s priority measures be? </w:t>
      </w:r>
    </w:p>
    <w:p w14:paraId="3AB77313" w14:textId="79C5EE52" w:rsidR="00804919" w:rsidRPr="0054007A" w:rsidRDefault="00804919" w:rsidP="00DC6D96">
      <w:pPr>
        <w:pStyle w:val="TOC1"/>
        <w:rPr>
          <w:rFonts w:cstheme="minorHAnsi"/>
        </w:rPr>
      </w:pPr>
    </w:p>
    <w:sectPr w:rsidR="00804919" w:rsidRPr="0054007A" w:rsidSect="006F4C78">
      <w:headerReference w:type="even" r:id="rId16"/>
      <w:headerReference w:type="default" r:id="rId17"/>
      <w:footerReference w:type="even" r:id="rId18"/>
      <w:footerReference w:type="default" r:id="rId19"/>
      <w:headerReference w:type="first" r:id="rId20"/>
      <w:footerReference w:type="first" r:id="rId21"/>
      <w:pgSz w:w="11906" w:h="16838"/>
      <w:pgMar w:top="1418" w:right="1247" w:bottom="1134" w:left="136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ED68E" w14:textId="77777777" w:rsidR="00A60773" w:rsidRDefault="00A60773" w:rsidP="00EB5CE6">
      <w:r>
        <w:separator/>
      </w:r>
    </w:p>
  </w:endnote>
  <w:endnote w:type="continuationSeparator" w:id="0">
    <w:p w14:paraId="3F1403E0" w14:textId="77777777" w:rsidR="00A60773" w:rsidRDefault="00A60773" w:rsidP="00EB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SEMIBOLD">
    <w:altName w:val="Calibri"/>
    <w:charset w:val="00"/>
    <w:family w:val="swiss"/>
    <w:pitch w:val="variable"/>
    <w:sig w:usb0="8000026F" w:usb1="5000004A" w:usb2="00000000" w:usb3="00000000" w:csb0="00000005" w:csb1="00000000"/>
  </w:font>
  <w:font w:name="Gill Sans Nova Medium">
    <w:altName w:val="Calibri"/>
    <w:panose1 w:val="00000000000000000000"/>
    <w:charset w:val="00"/>
    <w:family w:val="swiss"/>
    <w:notTrueType/>
    <w:pitch w:val="variable"/>
    <w:sig w:usb0="A00002AF" w:usb1="00006803" w:usb2="00000000" w:usb3="00000000" w:csb0="0000019F" w:csb1="00000000"/>
  </w:font>
  <w:font w:name="Gill Sans">
    <w:altName w:val="Arial"/>
    <w:charset w:val="B1"/>
    <w:family w:val="swiss"/>
    <w:pitch w:val="variable"/>
    <w:sig w:usb0="80000A67" w:usb1="00000000" w:usb2="00000000" w:usb3="00000000" w:csb0="000001F7" w:csb1="00000000"/>
  </w:font>
  <w:font w:name="Gill Sans Light">
    <w:altName w:val="Arial"/>
    <w:charset w:val="B1"/>
    <w:family w:val="swiss"/>
    <w:pitch w:val="variable"/>
    <w:sig w:usb0="80000A67" w:usb1="00000000" w:usb2="00000000" w:usb3="00000000" w:csb0="000001F7" w:csb1="00000000"/>
  </w:font>
  <w:font w:name="Lao UI">
    <w:charset w:val="00"/>
    <w:family w:val="swiss"/>
    <w:pitch w:val="variable"/>
    <w:sig w:usb0="82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Gill Sans" w:hAnsi="Gill Sans" w:cs="Gill Sans" w:hint="cs"/>
        <w:color w:val="6DB377"/>
        <w:sz w:val="16"/>
        <w:szCs w:val="16"/>
      </w:rPr>
      <w:id w:val="1365721428"/>
      <w:docPartObj>
        <w:docPartGallery w:val="Page Numbers (Bottom of Page)"/>
        <w:docPartUnique/>
      </w:docPartObj>
    </w:sdtPr>
    <w:sdtEndPr>
      <w:rPr>
        <w:rStyle w:val="PageNumber"/>
      </w:rPr>
    </w:sdtEndPr>
    <w:sdtContent>
      <w:p w14:paraId="3D2E6F6E" w14:textId="77777777" w:rsidR="0074084B" w:rsidRPr="00715085" w:rsidRDefault="0074084B" w:rsidP="009267EE">
        <w:pPr>
          <w:pStyle w:val="Footer"/>
          <w:framePr w:wrap="none" w:vAnchor="text" w:hAnchor="margin" w:xAlign="right" w:y="1"/>
          <w:rPr>
            <w:rStyle w:val="PageNumber"/>
            <w:rFonts w:ascii="Gill Sans" w:hAnsi="Gill Sans" w:cs="Gill Sans"/>
            <w:color w:val="6DB377"/>
            <w:sz w:val="16"/>
            <w:szCs w:val="16"/>
          </w:rPr>
        </w:pPr>
        <w:r w:rsidRPr="00715085">
          <w:rPr>
            <w:rStyle w:val="PageNumber"/>
            <w:rFonts w:ascii="Gill Sans" w:hAnsi="Gill Sans" w:cs="Gill Sans" w:hint="cs"/>
            <w:color w:val="6DB377"/>
            <w:sz w:val="16"/>
            <w:szCs w:val="16"/>
          </w:rPr>
          <w:fldChar w:fldCharType="begin"/>
        </w:r>
        <w:r w:rsidRPr="00715085">
          <w:rPr>
            <w:rStyle w:val="PageNumber"/>
            <w:rFonts w:ascii="Gill Sans" w:hAnsi="Gill Sans" w:cs="Gill Sans" w:hint="cs"/>
            <w:color w:val="6DB377"/>
            <w:sz w:val="16"/>
            <w:szCs w:val="16"/>
          </w:rPr>
          <w:instrText xml:space="preserve"> PAGE </w:instrText>
        </w:r>
        <w:r w:rsidRPr="00715085">
          <w:rPr>
            <w:rStyle w:val="PageNumber"/>
            <w:rFonts w:ascii="Gill Sans" w:hAnsi="Gill Sans" w:cs="Gill Sans" w:hint="cs"/>
            <w:color w:val="6DB377"/>
            <w:sz w:val="16"/>
            <w:szCs w:val="16"/>
          </w:rPr>
          <w:fldChar w:fldCharType="separate"/>
        </w:r>
        <w:r>
          <w:rPr>
            <w:rStyle w:val="PageNumber"/>
            <w:rFonts w:ascii="Gill Sans" w:hAnsi="Gill Sans" w:cs="Gill Sans"/>
            <w:color w:val="6DB377"/>
            <w:sz w:val="16"/>
            <w:szCs w:val="16"/>
          </w:rPr>
          <w:t>5</w:t>
        </w:r>
        <w:r w:rsidRPr="00715085">
          <w:rPr>
            <w:rStyle w:val="PageNumber"/>
            <w:rFonts w:ascii="Gill Sans" w:hAnsi="Gill Sans" w:cs="Gill Sans" w:hint="cs"/>
            <w:color w:val="6DB377"/>
            <w:sz w:val="16"/>
            <w:szCs w:val="16"/>
          </w:rPr>
          <w:fldChar w:fldCharType="end"/>
        </w:r>
      </w:p>
    </w:sdtContent>
  </w:sdt>
  <w:p w14:paraId="6B78FE08" w14:textId="45806F34" w:rsidR="0074084B" w:rsidRPr="004F22BD" w:rsidRDefault="004508EB" w:rsidP="009267EE">
    <w:pPr>
      <w:pStyle w:val="Footer"/>
      <w:ind w:right="360"/>
      <w:rPr>
        <w:rFonts w:ascii="Gill Sans" w:hAnsi="Gill Sans" w:cs="Gill Sans"/>
        <w:color w:val="6DB377"/>
        <w:sz w:val="18"/>
        <w:szCs w:val="18"/>
      </w:rPr>
    </w:pPr>
    <w:r>
      <w:rPr>
        <w:rFonts w:ascii="Gill Sans" w:hAnsi="Gill Sans" w:cs="Gill Sans"/>
        <w:color w:val="6DB377"/>
        <w:sz w:val="18"/>
        <w:szCs w:val="18"/>
      </w:rPr>
      <w:t>Tasmanian Future Gas Strategy Discussion Paper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Gill Sans" w:hAnsi="Gill Sans" w:cs="Gill Sans" w:hint="cs"/>
        <w:color w:val="6DB377"/>
        <w:sz w:val="16"/>
        <w:szCs w:val="16"/>
      </w:rPr>
      <w:id w:val="1516884032"/>
      <w:docPartObj>
        <w:docPartGallery w:val="Page Numbers (Bottom of Page)"/>
        <w:docPartUnique/>
      </w:docPartObj>
    </w:sdtPr>
    <w:sdtEndPr>
      <w:rPr>
        <w:rStyle w:val="PageNumber"/>
      </w:rPr>
    </w:sdtEndPr>
    <w:sdtContent>
      <w:p w14:paraId="66E1A410" w14:textId="06EBE463" w:rsidR="0074084B" w:rsidRPr="00715085" w:rsidRDefault="0074084B" w:rsidP="0074084B">
        <w:pPr>
          <w:pStyle w:val="Footer"/>
          <w:framePr w:wrap="none" w:vAnchor="text" w:hAnchor="margin" w:xAlign="right" w:y="1"/>
          <w:rPr>
            <w:rStyle w:val="PageNumber"/>
            <w:rFonts w:ascii="Gill Sans" w:hAnsi="Gill Sans" w:cs="Gill Sans"/>
            <w:color w:val="6DB377"/>
            <w:sz w:val="16"/>
            <w:szCs w:val="16"/>
          </w:rPr>
        </w:pPr>
        <w:r w:rsidRPr="00715085">
          <w:rPr>
            <w:rStyle w:val="PageNumber"/>
            <w:rFonts w:ascii="Gill Sans" w:hAnsi="Gill Sans" w:cs="Gill Sans" w:hint="cs"/>
            <w:color w:val="6DB377"/>
            <w:sz w:val="16"/>
            <w:szCs w:val="16"/>
          </w:rPr>
          <w:fldChar w:fldCharType="begin"/>
        </w:r>
        <w:r w:rsidRPr="00715085">
          <w:rPr>
            <w:rStyle w:val="PageNumber"/>
            <w:rFonts w:ascii="Gill Sans" w:hAnsi="Gill Sans" w:cs="Gill Sans" w:hint="cs"/>
            <w:color w:val="6DB377"/>
            <w:sz w:val="16"/>
            <w:szCs w:val="16"/>
          </w:rPr>
          <w:instrText xml:space="preserve"> PAGE </w:instrText>
        </w:r>
        <w:r w:rsidRPr="00715085">
          <w:rPr>
            <w:rStyle w:val="PageNumber"/>
            <w:rFonts w:ascii="Gill Sans" w:hAnsi="Gill Sans" w:cs="Gill Sans" w:hint="cs"/>
            <w:color w:val="6DB377"/>
            <w:sz w:val="16"/>
            <w:szCs w:val="16"/>
          </w:rPr>
          <w:fldChar w:fldCharType="separate"/>
        </w:r>
        <w:r w:rsidRPr="00715085">
          <w:rPr>
            <w:rStyle w:val="PageNumber"/>
            <w:rFonts w:ascii="Gill Sans" w:hAnsi="Gill Sans" w:cs="Gill Sans" w:hint="cs"/>
            <w:noProof/>
            <w:color w:val="6DB377"/>
            <w:sz w:val="16"/>
            <w:szCs w:val="16"/>
          </w:rPr>
          <w:t>12</w:t>
        </w:r>
        <w:r w:rsidRPr="00715085">
          <w:rPr>
            <w:rStyle w:val="PageNumber"/>
            <w:rFonts w:ascii="Gill Sans" w:hAnsi="Gill Sans" w:cs="Gill Sans" w:hint="cs"/>
            <w:color w:val="6DB377"/>
            <w:sz w:val="16"/>
            <w:szCs w:val="16"/>
          </w:rPr>
          <w:fldChar w:fldCharType="end"/>
        </w:r>
      </w:p>
    </w:sdtContent>
  </w:sdt>
  <w:p w14:paraId="290E8BF3" w14:textId="41BE41E8" w:rsidR="0074084B" w:rsidRPr="004F22BD" w:rsidRDefault="0074084B" w:rsidP="009267EE">
    <w:pPr>
      <w:pStyle w:val="Footer"/>
      <w:ind w:right="360"/>
      <w:rPr>
        <w:rFonts w:ascii="Gill Sans" w:hAnsi="Gill Sans" w:cs="Gill Sans"/>
        <w:color w:val="6DB377"/>
        <w:sz w:val="18"/>
        <w:szCs w:val="18"/>
      </w:rPr>
    </w:pPr>
    <w:r w:rsidRPr="00470405">
      <w:rPr>
        <w:rFonts w:ascii="Gill Sans" w:hAnsi="Gill Sans" w:cs="Gill Sans"/>
        <w:color w:val="6DB377"/>
        <w:sz w:val="18"/>
        <w:szCs w:val="18"/>
      </w:rPr>
      <w:t>www.</w:t>
    </w:r>
    <w:r w:rsidR="00470405" w:rsidRPr="00470405">
      <w:rPr>
        <w:rFonts w:ascii="Gill Sans" w:hAnsi="Gill Sans" w:cs="Gill Sans"/>
        <w:color w:val="6DB377"/>
        <w:sz w:val="18"/>
        <w:szCs w:val="18"/>
      </w:rPr>
      <w:t>recfit.tas.gov.au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5F894" w14:textId="5B07F95C" w:rsidR="0074084B" w:rsidRPr="00D6675E" w:rsidRDefault="00D6675E" w:rsidP="00D6675E">
    <w:pPr>
      <w:pStyle w:val="Footer"/>
    </w:pPr>
    <w:r w:rsidRPr="00D6675E">
      <w:rPr>
        <w:noProof/>
      </w:rPr>
      <w:drawing>
        <wp:anchor distT="0" distB="0" distL="0" distR="0" simplePos="0" relativeHeight="251672576" behindDoc="0" locked="0" layoutInCell="1" allowOverlap="1" wp14:anchorId="36F5678D" wp14:editId="48818F22">
          <wp:simplePos x="0" y="0"/>
          <wp:positionH relativeFrom="page">
            <wp:posOffset>325120</wp:posOffset>
          </wp:positionH>
          <wp:positionV relativeFrom="page">
            <wp:posOffset>9753600</wp:posOffset>
          </wp:positionV>
          <wp:extent cx="6957695" cy="59817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7695" cy="5981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07468" w14:textId="77777777" w:rsidR="00A60773" w:rsidRDefault="00A60773" w:rsidP="00EB5CE6">
      <w:r>
        <w:separator/>
      </w:r>
    </w:p>
  </w:footnote>
  <w:footnote w:type="continuationSeparator" w:id="0">
    <w:p w14:paraId="444170D9" w14:textId="77777777" w:rsidR="00A60773" w:rsidRDefault="00A60773" w:rsidP="00EB5CE6">
      <w:r>
        <w:continuationSeparator/>
      </w:r>
    </w:p>
  </w:footnote>
  <w:footnote w:id="1">
    <w:p w14:paraId="40679692" w14:textId="77777777" w:rsidR="00DC6D96" w:rsidRDefault="00DC6D96" w:rsidP="00DC6D96">
      <w:pPr>
        <w:pStyle w:val="FootnoteText"/>
      </w:pPr>
      <w:r>
        <w:rPr>
          <w:rStyle w:val="FootnoteReference"/>
        </w:rPr>
        <w:footnoteRef/>
      </w:r>
      <w:r>
        <w:t xml:space="preserve"> </w:t>
      </w:r>
      <w:r w:rsidRPr="00E65800">
        <w:t>You can find information about the Jacobs review of the Act</w:t>
      </w:r>
      <w:r>
        <w:t>,</w:t>
      </w:r>
      <w:r w:rsidRPr="00E65800">
        <w:t xml:space="preserve"> which includes Point Advisory’s NZE Pathway Options for Tasmania Background Paper</w:t>
      </w:r>
      <w:r>
        <w:t xml:space="preserve"> at </w:t>
      </w:r>
      <w:r w:rsidRPr="00E65800">
        <w:t>http://www.dpac.tas.gov.au/divisions/climatechange/Climate_Change_Priorities/review_of_the_climate_change_act</w:t>
      </w:r>
    </w:p>
  </w:footnote>
  <w:footnote w:id="2">
    <w:p w14:paraId="6108294B" w14:textId="77777777" w:rsidR="00DC6D96" w:rsidRPr="00714217" w:rsidRDefault="00DC6D96" w:rsidP="00DC6D96">
      <w:pPr>
        <w:rPr>
          <w:sz w:val="20"/>
          <w:szCs w:val="20"/>
        </w:rPr>
      </w:pPr>
      <w:r w:rsidRPr="00714217">
        <w:rPr>
          <w:sz w:val="20"/>
          <w:szCs w:val="20"/>
        </w:rPr>
        <w:footnoteRef/>
      </w:r>
      <w:r w:rsidRPr="00714217">
        <w:rPr>
          <w:sz w:val="20"/>
          <w:szCs w:val="20"/>
        </w:rPr>
        <w:t xml:space="preserve"> Tasmanian Economic Regulator, Comparison of Electricity and Gas Prices Available to Smaller Customers in September 2020, page 24</w:t>
      </w:r>
    </w:p>
  </w:footnote>
  <w:footnote w:id="3">
    <w:p w14:paraId="1124FC50" w14:textId="77777777" w:rsidR="00DC6D96" w:rsidRPr="00714217" w:rsidRDefault="00DC6D96" w:rsidP="00DC6D96">
      <w:pPr>
        <w:rPr>
          <w:sz w:val="20"/>
          <w:szCs w:val="20"/>
        </w:rPr>
      </w:pPr>
      <w:r w:rsidRPr="00714217">
        <w:rPr>
          <w:sz w:val="20"/>
          <w:szCs w:val="20"/>
        </w:rPr>
        <w:footnoteRef/>
      </w:r>
      <w:r w:rsidRPr="00714217">
        <w:rPr>
          <w:sz w:val="20"/>
          <w:szCs w:val="20"/>
        </w:rPr>
        <w:t xml:space="preserve"> </w:t>
      </w:r>
      <w:r>
        <w:rPr>
          <w:sz w:val="20"/>
          <w:szCs w:val="20"/>
        </w:rPr>
        <w:t>The Tasmanian Gas Market, Building the Pipeline to Opportunities, Goanna Energy Consulting Pty Ltd, August 2016</w:t>
      </w:r>
      <w:r w:rsidRPr="00714217">
        <w:rPr>
          <w:sz w:val="20"/>
          <w:szCs w:val="20"/>
        </w:rPr>
        <w:t xml:space="preserve"> </w:t>
      </w:r>
    </w:p>
  </w:footnote>
  <w:footnote w:id="4">
    <w:p w14:paraId="52F04946" w14:textId="77777777" w:rsidR="00DC6D96" w:rsidRDefault="00DC6D96" w:rsidP="00DC6D96">
      <w:r w:rsidRPr="00714217">
        <w:rPr>
          <w:sz w:val="20"/>
          <w:szCs w:val="20"/>
        </w:rPr>
        <w:footnoteRef/>
      </w:r>
      <w:r w:rsidRPr="00714217">
        <w:rPr>
          <w:sz w:val="20"/>
          <w:szCs w:val="20"/>
        </w:rPr>
        <w:t xml:space="preserve"> Tasmanian Economic Regulator, Comparison of Electricity and Gas Prices Available to Smaller Customers in September 2020</w:t>
      </w:r>
    </w:p>
  </w:footnote>
  <w:footnote w:id="5">
    <w:p w14:paraId="6737F5D1" w14:textId="77777777" w:rsidR="00DC6D96" w:rsidRDefault="00DC6D96" w:rsidP="00DC6D96">
      <w:pPr>
        <w:pStyle w:val="FootnoteText"/>
      </w:pPr>
      <w:r>
        <w:rPr>
          <w:rStyle w:val="FootnoteReference"/>
        </w:rPr>
        <w:footnoteRef/>
      </w:r>
      <w:r>
        <w:t xml:space="preserve"> </w:t>
      </w:r>
      <w:r w:rsidRPr="00C56C7B">
        <w:t>The Tasmanian Energy Security Taskforce’s Final Report was released on 16 August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EC1A2" w14:textId="7E50A121" w:rsidR="0074084B" w:rsidRDefault="006F4C78">
    <w:pPr>
      <w:pStyle w:val="Header"/>
    </w:pPr>
    <w:r>
      <w:rPr>
        <w:noProof/>
      </w:rPr>
      <w:drawing>
        <wp:anchor distT="0" distB="0" distL="114300" distR="114300" simplePos="0" relativeHeight="251668480" behindDoc="1" locked="0" layoutInCell="1" allowOverlap="1" wp14:anchorId="76425EDA" wp14:editId="6C0ED20E">
          <wp:simplePos x="0" y="0"/>
          <wp:positionH relativeFrom="margin">
            <wp:posOffset>-878789</wp:posOffset>
          </wp:positionH>
          <wp:positionV relativeFrom="paragraph">
            <wp:posOffset>-164876</wp:posOffset>
          </wp:positionV>
          <wp:extent cx="7560000" cy="71186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71186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FF41C" w14:textId="05D68FE8" w:rsidR="0074084B" w:rsidRDefault="0074084B">
    <w:pPr>
      <w:pStyle w:val="Header"/>
    </w:pPr>
    <w:r>
      <w:rPr>
        <w:noProof/>
      </w:rPr>
      <w:drawing>
        <wp:anchor distT="0" distB="0" distL="114300" distR="114300" simplePos="0" relativeHeight="251658240" behindDoc="1" locked="0" layoutInCell="1" allowOverlap="1" wp14:anchorId="135B642B" wp14:editId="4B0FD593">
          <wp:simplePos x="0" y="0"/>
          <wp:positionH relativeFrom="page">
            <wp:align>left</wp:align>
          </wp:positionH>
          <wp:positionV relativeFrom="paragraph">
            <wp:posOffset>-317758</wp:posOffset>
          </wp:positionV>
          <wp:extent cx="7560000" cy="711861"/>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71186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EB674" w14:textId="4FEE9ACC" w:rsidR="0074084B" w:rsidRDefault="00FA5275" w:rsidP="00FA5275">
    <w:pPr>
      <w:pStyle w:val="Header"/>
      <w:tabs>
        <w:tab w:val="clear" w:pos="9026"/>
        <w:tab w:val="right" w:pos="9355"/>
      </w:tabs>
      <w:jc w:val="right"/>
    </w:pPr>
    <w:r>
      <w:rPr>
        <w:noProof/>
      </w:rPr>
      <w:drawing>
        <wp:inline distT="0" distB="0" distL="0" distR="0" wp14:anchorId="76F2C3AE" wp14:editId="0FB55D34">
          <wp:extent cx="1190625" cy="1190625"/>
          <wp:effectExtent l="0" t="0" r="9525" b="952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sidR="00D6675E" w:rsidRPr="00D6675E">
      <w:rPr>
        <w:noProof/>
      </w:rPr>
      <w:t xml:space="preserve"> </w:t>
    </w:r>
    <w:r w:rsidR="00647F21">
      <w:rPr>
        <w:noProof/>
      </w:rPr>
      <w:drawing>
        <wp:anchor distT="0" distB="0" distL="114300" distR="114300" simplePos="0" relativeHeight="251666432" behindDoc="1" locked="0" layoutInCell="1" allowOverlap="1" wp14:anchorId="42507CFB" wp14:editId="3A852FAF">
          <wp:simplePos x="0" y="0"/>
          <wp:positionH relativeFrom="page">
            <wp:posOffset>419099</wp:posOffset>
          </wp:positionH>
          <wp:positionV relativeFrom="paragraph">
            <wp:posOffset>111760</wp:posOffset>
          </wp:positionV>
          <wp:extent cx="5724525" cy="712470"/>
          <wp:effectExtent l="0" t="0" r="9525"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r="18822"/>
                  <a:stretch/>
                </pic:blipFill>
                <pic:spPr bwMode="auto">
                  <a:xfrm>
                    <a:off x="0" y="0"/>
                    <a:ext cx="5724525" cy="712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084B">
      <w:rPr>
        <w:noProof/>
      </w:rPr>
      <w:drawing>
        <wp:anchor distT="0" distB="0" distL="114300" distR="114300" simplePos="0" relativeHeight="251664384" behindDoc="1" locked="1" layoutInCell="1" allowOverlap="1" wp14:anchorId="5BBE64E6" wp14:editId="49159F15">
          <wp:simplePos x="0" y="0"/>
          <wp:positionH relativeFrom="page">
            <wp:posOffset>-10160</wp:posOffset>
          </wp:positionH>
          <wp:positionV relativeFrom="page">
            <wp:posOffset>0</wp:posOffset>
          </wp:positionV>
          <wp:extent cx="7577455" cy="9662160"/>
          <wp:effectExtent l="0" t="0" r="4445" b="0"/>
          <wp:wrapNone/>
          <wp:docPr id="195" name="Picture 195" descr="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ircle&#10;&#10;Description automatically generated with low confidence"/>
                  <pic:cNvPicPr/>
                </pic:nvPicPr>
                <pic:blipFill rotWithShape="1">
                  <a:blip r:embed="rId3">
                    <a:extLst>
                      <a:ext uri="{28A0092B-C50C-407E-A947-70E740481C1C}">
                        <a14:useLocalDpi xmlns:a14="http://schemas.microsoft.com/office/drawing/2010/main" val="0"/>
                      </a:ext>
                    </a:extLst>
                  </a:blip>
                  <a:srcRect b="9783"/>
                  <a:stretch/>
                </pic:blipFill>
                <pic:spPr bwMode="auto">
                  <a:xfrm>
                    <a:off x="0" y="0"/>
                    <a:ext cx="7577455" cy="9662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00F0"/>
    <w:multiLevelType w:val="multilevel"/>
    <w:tmpl w:val="6624D9CC"/>
    <w:styleLink w:val="CurrentList2"/>
    <w:lvl w:ilvl="0">
      <w:start w:val="1"/>
      <w:numFmt w:val="decimal"/>
      <w:lvlText w:val="%1."/>
      <w:lvlJc w:val="left"/>
      <w:pPr>
        <w:ind w:left="794" w:hanging="6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BF4550"/>
    <w:multiLevelType w:val="hybridMultilevel"/>
    <w:tmpl w:val="D2AE05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BC3ABE"/>
    <w:multiLevelType w:val="hybridMultilevel"/>
    <w:tmpl w:val="78E085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4A2A7C"/>
    <w:multiLevelType w:val="hybridMultilevel"/>
    <w:tmpl w:val="1DB036D8"/>
    <w:lvl w:ilvl="0" w:tplc="8996C77A">
      <w:start w:val="1"/>
      <w:numFmt w:val="decimal"/>
      <w:pStyle w:val="BoldBodyNumberedSections"/>
      <w:lvlText w:val="%1."/>
      <w:lvlJc w:val="left"/>
      <w:pPr>
        <w:ind w:left="510" w:hanging="510"/>
      </w:pPr>
      <w:rPr>
        <w:rFonts w:hint="default"/>
        <w:color w:val="1C1F4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57462F"/>
    <w:multiLevelType w:val="hybridMultilevel"/>
    <w:tmpl w:val="64DA8F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A85668A"/>
    <w:multiLevelType w:val="hybridMultilevel"/>
    <w:tmpl w:val="45E0056E"/>
    <w:lvl w:ilvl="0" w:tplc="B30C4674">
      <w:start w:val="1"/>
      <w:numFmt w:val="decimal"/>
      <w:lvlText w:val="%1."/>
      <w:lvlJc w:val="left"/>
      <w:pPr>
        <w:ind w:left="410" w:hanging="36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6" w15:restartNumberingAfterBreak="0">
    <w:nsid w:val="2F895B94"/>
    <w:multiLevelType w:val="hybridMultilevel"/>
    <w:tmpl w:val="00840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7C0611"/>
    <w:multiLevelType w:val="hybridMultilevel"/>
    <w:tmpl w:val="F6DCE8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CC0628"/>
    <w:multiLevelType w:val="hybridMultilevel"/>
    <w:tmpl w:val="AC2236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E8C3EA5"/>
    <w:multiLevelType w:val="hybridMultilevel"/>
    <w:tmpl w:val="25883C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15E0125"/>
    <w:multiLevelType w:val="multilevel"/>
    <w:tmpl w:val="BA68B0C4"/>
    <w:styleLink w:val="Bullets"/>
    <w:lvl w:ilvl="0">
      <w:start w:val="1"/>
      <w:numFmt w:val="bullet"/>
      <w:pStyle w:val="ListBullet"/>
      <w:lvlText w:val=""/>
      <w:lvlJc w:val="left"/>
      <w:pPr>
        <w:ind w:left="397" w:hanging="397"/>
      </w:pPr>
      <w:rPr>
        <w:rFonts w:ascii="Wingdings" w:hAnsi="Wingdings" w:hint="default"/>
        <w:color w:val="4472C4" w:themeColor="accent1"/>
      </w:rPr>
    </w:lvl>
    <w:lvl w:ilvl="1">
      <w:start w:val="1"/>
      <w:numFmt w:val="bullet"/>
      <w:pStyle w:val="ListBullet2"/>
      <w:lvlText w:val="−"/>
      <w:lvlJc w:val="left"/>
      <w:pPr>
        <w:tabs>
          <w:tab w:val="num" w:pos="714"/>
        </w:tabs>
        <w:ind w:left="794" w:hanging="397"/>
      </w:pPr>
      <w:rPr>
        <w:rFonts w:asciiTheme="minorHAnsi" w:hAnsiTheme="minorHAnsi" w:cs="Times New Roman" w:hint="default"/>
        <w:color w:val="4472C4" w:themeColor="accent1"/>
      </w:rPr>
    </w:lvl>
    <w:lvl w:ilvl="2">
      <w:start w:val="1"/>
      <w:numFmt w:val="bullet"/>
      <w:pStyle w:val="ListBullet3"/>
      <w:lvlText w:val="−"/>
      <w:lvlJc w:val="left"/>
      <w:pPr>
        <w:ind w:left="1191" w:hanging="397"/>
      </w:pPr>
      <w:rPr>
        <w:rFonts w:ascii="Times New Roman" w:hAnsi="Times New Roman" w:cs="Times New Roman" w:hint="default"/>
        <w:color w:val="000000" w:themeColor="text1"/>
      </w:rPr>
    </w:lvl>
    <w:lvl w:ilvl="3">
      <w:start w:val="1"/>
      <w:numFmt w:val="bullet"/>
      <w:lvlText w:val="−"/>
      <w:lvlJc w:val="left"/>
      <w:pPr>
        <w:ind w:left="1588" w:hanging="397"/>
      </w:pPr>
      <w:rPr>
        <w:rFonts w:ascii="Calibri" w:hAnsi="Calibri" w:cs="Times New Roman" w:hint="default"/>
      </w:rPr>
    </w:lvl>
    <w:lvl w:ilvl="4">
      <w:start w:val="1"/>
      <w:numFmt w:val="bullet"/>
      <w:lvlText w:val="−"/>
      <w:lvlJc w:val="left"/>
      <w:pPr>
        <w:ind w:left="1985" w:hanging="397"/>
      </w:pPr>
      <w:rPr>
        <w:rFonts w:ascii="Calibri" w:hAnsi="Calibri" w:cs="Times New Roman" w:hint="default"/>
      </w:rPr>
    </w:lvl>
    <w:lvl w:ilvl="5">
      <w:start w:val="1"/>
      <w:numFmt w:val="bullet"/>
      <w:lvlText w:val="−"/>
      <w:lvlJc w:val="left"/>
      <w:pPr>
        <w:ind w:left="2382" w:hanging="397"/>
      </w:pPr>
      <w:rPr>
        <w:rFonts w:ascii="Calibri" w:hAnsi="Calibri" w:cs="Times New Roman" w:hint="default"/>
      </w:rPr>
    </w:lvl>
    <w:lvl w:ilvl="6">
      <w:start w:val="1"/>
      <w:numFmt w:val="bullet"/>
      <w:lvlText w:val="−"/>
      <w:lvlJc w:val="left"/>
      <w:pPr>
        <w:ind w:left="2779" w:hanging="397"/>
      </w:pPr>
      <w:rPr>
        <w:rFonts w:ascii="Calibri" w:hAnsi="Calibri" w:cs="Times New Roman" w:hint="default"/>
      </w:rPr>
    </w:lvl>
    <w:lvl w:ilvl="7">
      <w:start w:val="1"/>
      <w:numFmt w:val="bullet"/>
      <w:lvlText w:val="−"/>
      <w:lvlJc w:val="left"/>
      <w:pPr>
        <w:ind w:left="3176" w:hanging="397"/>
      </w:pPr>
      <w:rPr>
        <w:rFonts w:ascii="Calibri" w:hAnsi="Calibri" w:cs="Times New Roman" w:hint="default"/>
      </w:rPr>
    </w:lvl>
    <w:lvl w:ilvl="8">
      <w:start w:val="1"/>
      <w:numFmt w:val="bullet"/>
      <w:lvlText w:val="−"/>
      <w:lvlJc w:val="left"/>
      <w:pPr>
        <w:ind w:left="3573" w:hanging="397"/>
      </w:pPr>
      <w:rPr>
        <w:rFonts w:ascii="Calibri" w:hAnsi="Calibri" w:cs="Times New Roman" w:hint="default"/>
      </w:rPr>
    </w:lvl>
  </w:abstractNum>
  <w:abstractNum w:abstractNumId="11" w15:restartNumberingAfterBreak="0">
    <w:nsid w:val="42E33B19"/>
    <w:multiLevelType w:val="hybridMultilevel"/>
    <w:tmpl w:val="BFFEE8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76138C"/>
    <w:multiLevelType w:val="multilevel"/>
    <w:tmpl w:val="C2F23A90"/>
    <w:lvl w:ilvl="0">
      <w:start w:val="1"/>
      <w:numFmt w:val="bullet"/>
      <w:lvlText w:val=""/>
      <w:lvlJc w:val="left"/>
      <w:pPr>
        <w:ind w:left="482"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A003744"/>
    <w:multiLevelType w:val="hybridMultilevel"/>
    <w:tmpl w:val="DC623A3A"/>
    <w:lvl w:ilvl="0" w:tplc="D21626C6">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B451F0"/>
    <w:multiLevelType w:val="hybridMultilevel"/>
    <w:tmpl w:val="8864027A"/>
    <w:lvl w:ilvl="0" w:tplc="5CDE327E">
      <w:start w:val="1"/>
      <w:numFmt w:val="decimal"/>
      <w:lvlText w:val="%1."/>
      <w:lvlJc w:val="left"/>
      <w:pPr>
        <w:tabs>
          <w:tab w:val="num" w:pos="720"/>
        </w:tabs>
        <w:ind w:left="720" w:hanging="360"/>
      </w:pPr>
    </w:lvl>
    <w:lvl w:ilvl="1" w:tplc="7CA0674E" w:tentative="1">
      <w:start w:val="1"/>
      <w:numFmt w:val="decimal"/>
      <w:lvlText w:val="%2."/>
      <w:lvlJc w:val="left"/>
      <w:pPr>
        <w:tabs>
          <w:tab w:val="num" w:pos="1440"/>
        </w:tabs>
        <w:ind w:left="1440" w:hanging="360"/>
      </w:pPr>
    </w:lvl>
    <w:lvl w:ilvl="2" w:tplc="9260CF32" w:tentative="1">
      <w:start w:val="1"/>
      <w:numFmt w:val="decimal"/>
      <w:lvlText w:val="%3."/>
      <w:lvlJc w:val="left"/>
      <w:pPr>
        <w:tabs>
          <w:tab w:val="num" w:pos="2160"/>
        </w:tabs>
        <w:ind w:left="2160" w:hanging="360"/>
      </w:pPr>
    </w:lvl>
    <w:lvl w:ilvl="3" w:tplc="5BDEF1CA" w:tentative="1">
      <w:start w:val="1"/>
      <w:numFmt w:val="decimal"/>
      <w:lvlText w:val="%4."/>
      <w:lvlJc w:val="left"/>
      <w:pPr>
        <w:tabs>
          <w:tab w:val="num" w:pos="2880"/>
        </w:tabs>
        <w:ind w:left="2880" w:hanging="360"/>
      </w:pPr>
    </w:lvl>
    <w:lvl w:ilvl="4" w:tplc="9B908A88" w:tentative="1">
      <w:start w:val="1"/>
      <w:numFmt w:val="decimal"/>
      <w:lvlText w:val="%5."/>
      <w:lvlJc w:val="left"/>
      <w:pPr>
        <w:tabs>
          <w:tab w:val="num" w:pos="3600"/>
        </w:tabs>
        <w:ind w:left="3600" w:hanging="360"/>
      </w:pPr>
    </w:lvl>
    <w:lvl w:ilvl="5" w:tplc="217CF538" w:tentative="1">
      <w:start w:val="1"/>
      <w:numFmt w:val="decimal"/>
      <w:lvlText w:val="%6."/>
      <w:lvlJc w:val="left"/>
      <w:pPr>
        <w:tabs>
          <w:tab w:val="num" w:pos="4320"/>
        </w:tabs>
        <w:ind w:left="4320" w:hanging="360"/>
      </w:pPr>
    </w:lvl>
    <w:lvl w:ilvl="6" w:tplc="3136527A" w:tentative="1">
      <w:start w:val="1"/>
      <w:numFmt w:val="decimal"/>
      <w:lvlText w:val="%7."/>
      <w:lvlJc w:val="left"/>
      <w:pPr>
        <w:tabs>
          <w:tab w:val="num" w:pos="5040"/>
        </w:tabs>
        <w:ind w:left="5040" w:hanging="360"/>
      </w:pPr>
    </w:lvl>
    <w:lvl w:ilvl="7" w:tplc="675CB656" w:tentative="1">
      <w:start w:val="1"/>
      <w:numFmt w:val="decimal"/>
      <w:lvlText w:val="%8."/>
      <w:lvlJc w:val="left"/>
      <w:pPr>
        <w:tabs>
          <w:tab w:val="num" w:pos="5760"/>
        </w:tabs>
        <w:ind w:left="5760" w:hanging="360"/>
      </w:pPr>
    </w:lvl>
    <w:lvl w:ilvl="8" w:tplc="8B082EB6" w:tentative="1">
      <w:start w:val="1"/>
      <w:numFmt w:val="decimal"/>
      <w:lvlText w:val="%9."/>
      <w:lvlJc w:val="left"/>
      <w:pPr>
        <w:tabs>
          <w:tab w:val="num" w:pos="6480"/>
        </w:tabs>
        <w:ind w:left="6480" w:hanging="360"/>
      </w:pPr>
    </w:lvl>
  </w:abstractNum>
  <w:abstractNum w:abstractNumId="15" w15:restartNumberingAfterBreak="0">
    <w:nsid w:val="58F62F37"/>
    <w:multiLevelType w:val="hybridMultilevel"/>
    <w:tmpl w:val="34F89E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6081804"/>
    <w:multiLevelType w:val="hybridMultilevel"/>
    <w:tmpl w:val="10DC3BA8"/>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345" w:hanging="360"/>
      </w:pPr>
      <w:rPr>
        <w:rFonts w:ascii="Courier New" w:hAnsi="Courier New" w:cs="Courier New" w:hint="default"/>
      </w:rPr>
    </w:lvl>
    <w:lvl w:ilvl="2" w:tplc="0C090005" w:tentative="1">
      <w:start w:val="1"/>
      <w:numFmt w:val="bullet"/>
      <w:lvlText w:val=""/>
      <w:lvlJc w:val="left"/>
      <w:pPr>
        <w:ind w:left="375" w:hanging="360"/>
      </w:pPr>
      <w:rPr>
        <w:rFonts w:ascii="Wingdings" w:hAnsi="Wingdings" w:hint="default"/>
      </w:rPr>
    </w:lvl>
    <w:lvl w:ilvl="3" w:tplc="0C090001" w:tentative="1">
      <w:start w:val="1"/>
      <w:numFmt w:val="bullet"/>
      <w:lvlText w:val=""/>
      <w:lvlJc w:val="left"/>
      <w:pPr>
        <w:ind w:left="1095" w:hanging="360"/>
      </w:pPr>
      <w:rPr>
        <w:rFonts w:ascii="Symbol" w:hAnsi="Symbol" w:hint="default"/>
      </w:rPr>
    </w:lvl>
    <w:lvl w:ilvl="4" w:tplc="0C090003" w:tentative="1">
      <w:start w:val="1"/>
      <w:numFmt w:val="bullet"/>
      <w:lvlText w:val="o"/>
      <w:lvlJc w:val="left"/>
      <w:pPr>
        <w:ind w:left="1815" w:hanging="360"/>
      </w:pPr>
      <w:rPr>
        <w:rFonts w:ascii="Courier New" w:hAnsi="Courier New" w:cs="Courier New" w:hint="default"/>
      </w:rPr>
    </w:lvl>
    <w:lvl w:ilvl="5" w:tplc="0C090005" w:tentative="1">
      <w:start w:val="1"/>
      <w:numFmt w:val="bullet"/>
      <w:lvlText w:val=""/>
      <w:lvlJc w:val="left"/>
      <w:pPr>
        <w:ind w:left="2535" w:hanging="360"/>
      </w:pPr>
      <w:rPr>
        <w:rFonts w:ascii="Wingdings" w:hAnsi="Wingdings" w:hint="default"/>
      </w:rPr>
    </w:lvl>
    <w:lvl w:ilvl="6" w:tplc="0C090001" w:tentative="1">
      <w:start w:val="1"/>
      <w:numFmt w:val="bullet"/>
      <w:lvlText w:val=""/>
      <w:lvlJc w:val="left"/>
      <w:pPr>
        <w:ind w:left="3255" w:hanging="360"/>
      </w:pPr>
      <w:rPr>
        <w:rFonts w:ascii="Symbol" w:hAnsi="Symbol" w:hint="default"/>
      </w:rPr>
    </w:lvl>
    <w:lvl w:ilvl="7" w:tplc="0C090003" w:tentative="1">
      <w:start w:val="1"/>
      <w:numFmt w:val="bullet"/>
      <w:lvlText w:val="o"/>
      <w:lvlJc w:val="left"/>
      <w:pPr>
        <w:ind w:left="3975" w:hanging="360"/>
      </w:pPr>
      <w:rPr>
        <w:rFonts w:ascii="Courier New" w:hAnsi="Courier New" w:cs="Courier New" w:hint="default"/>
      </w:rPr>
    </w:lvl>
    <w:lvl w:ilvl="8" w:tplc="0C090005" w:tentative="1">
      <w:start w:val="1"/>
      <w:numFmt w:val="bullet"/>
      <w:lvlText w:val=""/>
      <w:lvlJc w:val="left"/>
      <w:pPr>
        <w:ind w:left="4695" w:hanging="360"/>
      </w:pPr>
      <w:rPr>
        <w:rFonts w:ascii="Wingdings" w:hAnsi="Wingdings" w:hint="default"/>
      </w:rPr>
    </w:lvl>
  </w:abstractNum>
  <w:abstractNum w:abstractNumId="17" w15:restartNumberingAfterBreak="0">
    <w:nsid w:val="69E703ED"/>
    <w:multiLevelType w:val="hybridMultilevel"/>
    <w:tmpl w:val="5E64A4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D214743"/>
    <w:multiLevelType w:val="hybridMultilevel"/>
    <w:tmpl w:val="C58C24CE"/>
    <w:lvl w:ilvl="0" w:tplc="91A4A42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A237E9"/>
    <w:multiLevelType w:val="multilevel"/>
    <w:tmpl w:val="220C8F66"/>
    <w:styleLink w:val="CurrentList1"/>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8C43E04"/>
    <w:multiLevelType w:val="hybridMultilevel"/>
    <w:tmpl w:val="B186D28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9"/>
  </w:num>
  <w:num w:numId="3">
    <w:abstractNumId w:val="0"/>
  </w:num>
  <w:num w:numId="4">
    <w:abstractNumId w:val="10"/>
  </w:num>
  <w:num w:numId="5">
    <w:abstractNumId w:val="17"/>
  </w:num>
  <w:num w:numId="6">
    <w:abstractNumId w:val="5"/>
  </w:num>
  <w:num w:numId="7">
    <w:abstractNumId w:val="20"/>
  </w:num>
  <w:num w:numId="8">
    <w:abstractNumId w:val="6"/>
  </w:num>
  <w:num w:numId="9">
    <w:abstractNumId w:val="16"/>
  </w:num>
  <w:num w:numId="10">
    <w:abstractNumId w:val="4"/>
  </w:num>
  <w:num w:numId="11">
    <w:abstractNumId w:val="13"/>
  </w:num>
  <w:num w:numId="12">
    <w:abstractNumId w:val="1"/>
  </w:num>
  <w:num w:numId="13">
    <w:abstractNumId w:val="9"/>
  </w:num>
  <w:num w:numId="14">
    <w:abstractNumId w:val="11"/>
  </w:num>
  <w:num w:numId="15">
    <w:abstractNumId w:val="7"/>
  </w:num>
  <w:num w:numId="16">
    <w:abstractNumId w:val="2"/>
  </w:num>
  <w:num w:numId="17">
    <w:abstractNumId w:val="15"/>
  </w:num>
  <w:num w:numId="18">
    <w:abstractNumId w:val="8"/>
  </w:num>
  <w:num w:numId="19">
    <w:abstractNumId w:val="18"/>
  </w:num>
  <w:num w:numId="20">
    <w:abstractNumId w:val="12"/>
  </w:num>
  <w:num w:numId="2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E6"/>
    <w:rsid w:val="0000695E"/>
    <w:rsid w:val="00011FFC"/>
    <w:rsid w:val="00016DC8"/>
    <w:rsid w:val="00036D3B"/>
    <w:rsid w:val="000507F6"/>
    <w:rsid w:val="000552DE"/>
    <w:rsid w:val="00065457"/>
    <w:rsid w:val="00073276"/>
    <w:rsid w:val="000806A8"/>
    <w:rsid w:val="000D420B"/>
    <w:rsid w:val="000D5F2E"/>
    <w:rsid w:val="000F4FDF"/>
    <w:rsid w:val="001066B8"/>
    <w:rsid w:val="0013605A"/>
    <w:rsid w:val="001371C8"/>
    <w:rsid w:val="00147AD5"/>
    <w:rsid w:val="00150EDA"/>
    <w:rsid w:val="00155D52"/>
    <w:rsid w:val="00172A9E"/>
    <w:rsid w:val="00195386"/>
    <w:rsid w:val="001D0976"/>
    <w:rsid w:val="001D4AEB"/>
    <w:rsid w:val="001F3EF5"/>
    <w:rsid w:val="00206832"/>
    <w:rsid w:val="00222975"/>
    <w:rsid w:val="00232825"/>
    <w:rsid w:val="0023405B"/>
    <w:rsid w:val="002A3B8A"/>
    <w:rsid w:val="002B0D33"/>
    <w:rsid w:val="002D6464"/>
    <w:rsid w:val="00306576"/>
    <w:rsid w:val="0034304E"/>
    <w:rsid w:val="003475F6"/>
    <w:rsid w:val="003647CA"/>
    <w:rsid w:val="00386736"/>
    <w:rsid w:val="003A27AC"/>
    <w:rsid w:val="003D53A4"/>
    <w:rsid w:val="003F5F32"/>
    <w:rsid w:val="00413366"/>
    <w:rsid w:val="0042270A"/>
    <w:rsid w:val="0043318C"/>
    <w:rsid w:val="0043761F"/>
    <w:rsid w:val="00437B27"/>
    <w:rsid w:val="004508EB"/>
    <w:rsid w:val="00452919"/>
    <w:rsid w:val="00470405"/>
    <w:rsid w:val="004839D3"/>
    <w:rsid w:val="004A2F28"/>
    <w:rsid w:val="004C516D"/>
    <w:rsid w:val="004E3E3F"/>
    <w:rsid w:val="004F22BD"/>
    <w:rsid w:val="005313D5"/>
    <w:rsid w:val="0054007A"/>
    <w:rsid w:val="005E2C67"/>
    <w:rsid w:val="006034A2"/>
    <w:rsid w:val="00611607"/>
    <w:rsid w:val="00647F21"/>
    <w:rsid w:val="00656AA0"/>
    <w:rsid w:val="0067190F"/>
    <w:rsid w:val="006867B9"/>
    <w:rsid w:val="006A4D83"/>
    <w:rsid w:val="006E0BCB"/>
    <w:rsid w:val="006F0E47"/>
    <w:rsid w:val="006F33F1"/>
    <w:rsid w:val="006F4C78"/>
    <w:rsid w:val="00715085"/>
    <w:rsid w:val="00715B5D"/>
    <w:rsid w:val="0074084B"/>
    <w:rsid w:val="00760A72"/>
    <w:rsid w:val="007639E2"/>
    <w:rsid w:val="007919EC"/>
    <w:rsid w:val="00793EB3"/>
    <w:rsid w:val="00794FB4"/>
    <w:rsid w:val="007B44C9"/>
    <w:rsid w:val="007C3D97"/>
    <w:rsid w:val="007D5D49"/>
    <w:rsid w:val="007E1093"/>
    <w:rsid w:val="00800507"/>
    <w:rsid w:val="00804919"/>
    <w:rsid w:val="00804AA9"/>
    <w:rsid w:val="00821915"/>
    <w:rsid w:val="00863875"/>
    <w:rsid w:val="0087239D"/>
    <w:rsid w:val="00897223"/>
    <w:rsid w:val="008D2B9D"/>
    <w:rsid w:val="008E2BC7"/>
    <w:rsid w:val="008E5733"/>
    <w:rsid w:val="008E7BA1"/>
    <w:rsid w:val="00911EBF"/>
    <w:rsid w:val="009267EE"/>
    <w:rsid w:val="00932562"/>
    <w:rsid w:val="00934E56"/>
    <w:rsid w:val="00950FBC"/>
    <w:rsid w:val="009A254E"/>
    <w:rsid w:val="009B2975"/>
    <w:rsid w:val="009D16AA"/>
    <w:rsid w:val="00A217F1"/>
    <w:rsid w:val="00A26419"/>
    <w:rsid w:val="00A321AC"/>
    <w:rsid w:val="00A60773"/>
    <w:rsid w:val="00A61082"/>
    <w:rsid w:val="00A66A32"/>
    <w:rsid w:val="00A701E2"/>
    <w:rsid w:val="00A761D7"/>
    <w:rsid w:val="00AA5CDD"/>
    <w:rsid w:val="00AA6EB2"/>
    <w:rsid w:val="00AA7AFD"/>
    <w:rsid w:val="00B02928"/>
    <w:rsid w:val="00B22C80"/>
    <w:rsid w:val="00BC6084"/>
    <w:rsid w:val="00BD0E7B"/>
    <w:rsid w:val="00BE7B48"/>
    <w:rsid w:val="00C06CB0"/>
    <w:rsid w:val="00C7449B"/>
    <w:rsid w:val="00CD7097"/>
    <w:rsid w:val="00CF185B"/>
    <w:rsid w:val="00D01C83"/>
    <w:rsid w:val="00D55AF8"/>
    <w:rsid w:val="00D578F4"/>
    <w:rsid w:val="00D607B5"/>
    <w:rsid w:val="00D6675E"/>
    <w:rsid w:val="00D836E3"/>
    <w:rsid w:val="00D8646A"/>
    <w:rsid w:val="00DC2B80"/>
    <w:rsid w:val="00DC6D96"/>
    <w:rsid w:val="00E033D2"/>
    <w:rsid w:val="00E04A45"/>
    <w:rsid w:val="00E421DC"/>
    <w:rsid w:val="00E62329"/>
    <w:rsid w:val="00E66F15"/>
    <w:rsid w:val="00E80668"/>
    <w:rsid w:val="00EB5CE6"/>
    <w:rsid w:val="00FA5275"/>
    <w:rsid w:val="00FE7E6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723A8"/>
  <w15:chartTrackingRefBased/>
  <w15:docId w15:val="{C5416B8B-6427-8046-8886-8DB47870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516D"/>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516D"/>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C516D"/>
    <w:pPr>
      <w:spacing w:before="100" w:beforeAutospacing="1" w:after="100" w:afterAutospacing="1"/>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4C516D"/>
    <w:pPr>
      <w:spacing w:before="100" w:beforeAutospacing="1" w:after="100" w:afterAutospacing="1"/>
      <w:outlineLvl w:val="3"/>
    </w:pPr>
    <w:rPr>
      <w:rFonts w:ascii="Times New Roman" w:eastAsia="Times New Roman" w:hAnsi="Times New Roman" w:cs="Times New Roman"/>
      <w:b/>
      <w:bCs/>
      <w:lang w:eastAsia="en-AU"/>
    </w:rPr>
  </w:style>
  <w:style w:type="paragraph" w:styleId="Heading5">
    <w:name w:val="heading 5"/>
    <w:basedOn w:val="Normal"/>
    <w:link w:val="Heading5Char"/>
    <w:uiPriority w:val="9"/>
    <w:qFormat/>
    <w:rsid w:val="004C516D"/>
    <w:pPr>
      <w:spacing w:before="100" w:beforeAutospacing="1" w:after="100" w:afterAutospacing="1"/>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RT">
    <w:name w:val="Heading 1 (RT)"/>
    <w:autoRedefine/>
    <w:uiPriority w:val="99"/>
    <w:qFormat/>
    <w:rsid w:val="00715B5D"/>
    <w:pPr>
      <w:tabs>
        <w:tab w:val="left" w:pos="170"/>
        <w:tab w:val="left" w:pos="340"/>
      </w:tabs>
      <w:suppressAutoHyphens/>
      <w:autoSpaceDE w:val="0"/>
      <w:autoSpaceDN w:val="0"/>
      <w:adjustRightInd w:val="0"/>
      <w:spacing w:after="600" w:line="320" w:lineRule="atLeast"/>
      <w:textAlignment w:val="center"/>
    </w:pPr>
    <w:rPr>
      <w:rFonts w:ascii="GILL SANS SEMIBOLD" w:hAnsi="GILL SANS SEMIBOLD" w:cs="Gill Sans Nova Medium"/>
      <w:b/>
      <w:color w:val="1C1F4D"/>
      <w:sz w:val="56"/>
      <w:szCs w:val="26"/>
      <w:lang w:val="en-GB"/>
    </w:rPr>
  </w:style>
  <w:style w:type="paragraph" w:customStyle="1" w:styleId="BoldBody">
    <w:name w:val="Bold Body"/>
    <w:basedOn w:val="Normal"/>
    <w:qFormat/>
    <w:rsid w:val="00306576"/>
    <w:pPr>
      <w:widowControl w:val="0"/>
      <w:tabs>
        <w:tab w:val="left" w:pos="14175"/>
      </w:tabs>
      <w:spacing w:after="240" w:line="320" w:lineRule="exact"/>
    </w:pPr>
    <w:rPr>
      <w:rFonts w:ascii="GILL SANS SEMIBOLD" w:eastAsia="Times New Roman" w:hAnsi="GILL SANS SEMIBOLD" w:cs="Gill Sans"/>
      <w:b/>
      <w:bCs/>
      <w:color w:val="1C1F4D"/>
      <w:sz w:val="26"/>
      <w:lang w:eastAsia="en-AU"/>
    </w:rPr>
  </w:style>
  <w:style w:type="paragraph" w:customStyle="1" w:styleId="BodyRT">
    <w:name w:val="Body (RT)"/>
    <w:basedOn w:val="Normal"/>
    <w:qFormat/>
    <w:rsid w:val="00911EBF"/>
    <w:pPr>
      <w:widowControl w:val="0"/>
      <w:spacing w:after="160"/>
    </w:pPr>
    <w:rPr>
      <w:rFonts w:ascii="Gill Sans Light" w:eastAsia="Times New Roman" w:hAnsi="Gill Sans Light" w:cs="Times New Roman"/>
      <w:color w:val="000000" w:themeColor="text1"/>
      <w:spacing w:val="5"/>
      <w:sz w:val="22"/>
      <w:lang w:eastAsia="en-AU"/>
    </w:rPr>
  </w:style>
  <w:style w:type="paragraph" w:styleId="Header">
    <w:name w:val="header"/>
    <w:basedOn w:val="Normal"/>
    <w:link w:val="HeaderChar"/>
    <w:uiPriority w:val="99"/>
    <w:unhideWhenUsed/>
    <w:rsid w:val="00911EBF"/>
    <w:pPr>
      <w:tabs>
        <w:tab w:val="center" w:pos="4513"/>
        <w:tab w:val="right" w:pos="9026"/>
      </w:tabs>
    </w:pPr>
  </w:style>
  <w:style w:type="character" w:customStyle="1" w:styleId="HeaderChar">
    <w:name w:val="Header Char"/>
    <w:basedOn w:val="DefaultParagraphFont"/>
    <w:link w:val="Header"/>
    <w:uiPriority w:val="99"/>
    <w:rsid w:val="00911EBF"/>
  </w:style>
  <w:style w:type="paragraph" w:styleId="Footer">
    <w:name w:val="footer"/>
    <w:basedOn w:val="Normal"/>
    <w:link w:val="FooterChar"/>
    <w:uiPriority w:val="99"/>
    <w:unhideWhenUsed/>
    <w:rsid w:val="00911EBF"/>
    <w:pPr>
      <w:tabs>
        <w:tab w:val="center" w:pos="4513"/>
        <w:tab w:val="right" w:pos="9026"/>
      </w:tabs>
    </w:pPr>
  </w:style>
  <w:style w:type="character" w:customStyle="1" w:styleId="FooterChar">
    <w:name w:val="Footer Char"/>
    <w:basedOn w:val="DefaultParagraphFont"/>
    <w:link w:val="Footer"/>
    <w:uiPriority w:val="99"/>
    <w:rsid w:val="00911EBF"/>
  </w:style>
  <w:style w:type="paragraph" w:customStyle="1" w:styleId="TRR19Heading3">
    <w:name w:val="TRR19_Heading 3"/>
    <w:basedOn w:val="Normal"/>
    <w:uiPriority w:val="99"/>
    <w:rsid w:val="00911EBF"/>
    <w:pPr>
      <w:tabs>
        <w:tab w:val="left" w:pos="170"/>
        <w:tab w:val="left" w:pos="340"/>
      </w:tabs>
      <w:suppressAutoHyphens/>
      <w:autoSpaceDE w:val="0"/>
      <w:autoSpaceDN w:val="0"/>
      <w:adjustRightInd w:val="0"/>
      <w:spacing w:after="113" w:line="240" w:lineRule="atLeast"/>
      <w:textAlignment w:val="center"/>
    </w:pPr>
    <w:rPr>
      <w:rFonts w:ascii="Gill Sans" w:hAnsi="Gill Sans" w:cs="Gill Sans"/>
      <w:color w:val="005A95"/>
      <w:sz w:val="22"/>
      <w:szCs w:val="22"/>
      <w:lang w:val="en-GB"/>
    </w:rPr>
  </w:style>
  <w:style w:type="table" w:styleId="TableGrid">
    <w:name w:val="Table Grid"/>
    <w:basedOn w:val="TableNormal"/>
    <w:uiPriority w:val="39"/>
    <w:rsid w:val="00EB5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06832"/>
  </w:style>
  <w:style w:type="character" w:styleId="PlaceholderText">
    <w:name w:val="Placeholder Text"/>
    <w:basedOn w:val="DefaultParagraphFont"/>
    <w:uiPriority w:val="99"/>
    <w:semiHidden/>
    <w:rsid w:val="00206832"/>
    <w:rPr>
      <w:color w:val="808080"/>
    </w:rPr>
  </w:style>
  <w:style w:type="paragraph" w:styleId="ListParagraph">
    <w:name w:val="List Paragraph"/>
    <w:aliases w:val="L,List Paragraph1,List Paragraph11,Recommendation,Bullet Point,Bullet points,Content descriptions,Bullet point,standard lewis,Check box List Paragraph,List Paragraph111,F5 List Paragraph,Dot pt,CV text,Table text,Medium Grid 1 - Accent 21"/>
    <w:basedOn w:val="Normal"/>
    <w:link w:val="ListParagraphChar"/>
    <w:uiPriority w:val="34"/>
    <w:qFormat/>
    <w:rsid w:val="00306576"/>
    <w:pPr>
      <w:spacing w:after="160" w:line="259" w:lineRule="auto"/>
      <w:ind w:left="720"/>
      <w:contextualSpacing/>
    </w:pPr>
    <w:rPr>
      <w:sz w:val="22"/>
      <w:szCs w:val="22"/>
    </w:rPr>
  </w:style>
  <w:style w:type="character" w:customStyle="1" w:styleId="ListParagraphChar">
    <w:name w:val="List Paragraph Char"/>
    <w:aliases w:val="L Char,List Paragraph1 Char,List Paragraph11 Char,Recommendation Char,Bullet Point Char,Bullet points Char,Content descriptions Char,Bullet point Char,standard lewis Char,Check box List Paragraph Char,List Paragraph111 Char"/>
    <w:basedOn w:val="DefaultParagraphFont"/>
    <w:link w:val="ListParagraph"/>
    <w:uiPriority w:val="34"/>
    <w:locked/>
    <w:rsid w:val="00306576"/>
    <w:rPr>
      <w:sz w:val="22"/>
      <w:szCs w:val="22"/>
    </w:rPr>
  </w:style>
  <w:style w:type="paragraph" w:customStyle="1" w:styleId="Headling2RT">
    <w:name w:val="Headling 2 (RT)"/>
    <w:basedOn w:val="BoldBody"/>
    <w:qFormat/>
    <w:rsid w:val="00932562"/>
    <w:pPr>
      <w:spacing w:before="360" w:after="180"/>
    </w:pPr>
    <w:rPr>
      <w:sz w:val="32"/>
      <w:szCs w:val="32"/>
    </w:rPr>
  </w:style>
  <w:style w:type="paragraph" w:customStyle="1" w:styleId="BoldBodyNumberedSections">
    <w:name w:val="Bold Body Numbered Sections"/>
    <w:basedOn w:val="BoldBody"/>
    <w:qFormat/>
    <w:rsid w:val="00FE7E69"/>
    <w:pPr>
      <w:numPr>
        <w:numId w:val="1"/>
      </w:numPr>
      <w:spacing w:before="360"/>
    </w:pPr>
  </w:style>
  <w:style w:type="paragraph" w:customStyle="1" w:styleId="BoldBodyIndent">
    <w:name w:val="Bold Body Indent"/>
    <w:basedOn w:val="BoldBody"/>
    <w:qFormat/>
    <w:rsid w:val="00932562"/>
    <w:pPr>
      <w:spacing w:after="60"/>
      <w:ind w:left="510"/>
    </w:pPr>
  </w:style>
  <w:style w:type="numbering" w:customStyle="1" w:styleId="CurrentList1">
    <w:name w:val="Current List1"/>
    <w:uiPriority w:val="99"/>
    <w:rsid w:val="00932562"/>
    <w:pPr>
      <w:numPr>
        <w:numId w:val="2"/>
      </w:numPr>
    </w:pPr>
  </w:style>
  <w:style w:type="numbering" w:customStyle="1" w:styleId="CurrentList2">
    <w:name w:val="Current List2"/>
    <w:uiPriority w:val="99"/>
    <w:rsid w:val="00932562"/>
    <w:pPr>
      <w:numPr>
        <w:numId w:val="3"/>
      </w:numPr>
    </w:pPr>
  </w:style>
  <w:style w:type="paragraph" w:customStyle="1" w:styleId="BodyIndentRT">
    <w:name w:val="Body Indent (RT)"/>
    <w:basedOn w:val="BodyRT"/>
    <w:qFormat/>
    <w:rsid w:val="00932562"/>
    <w:pPr>
      <w:ind w:left="510"/>
    </w:pPr>
  </w:style>
  <w:style w:type="paragraph" w:customStyle="1" w:styleId="BoldBodyIndent18ptbefore">
    <w:name w:val="Bold Body Indent (18pt before)"/>
    <w:basedOn w:val="BoldBodyIndent"/>
    <w:qFormat/>
    <w:rsid w:val="007C3D97"/>
    <w:pPr>
      <w:spacing w:before="360"/>
    </w:pPr>
  </w:style>
  <w:style w:type="character" w:styleId="Hyperlink">
    <w:name w:val="Hyperlink"/>
    <w:basedOn w:val="DefaultParagraphFont"/>
    <w:uiPriority w:val="99"/>
    <w:unhideWhenUsed/>
    <w:rsid w:val="00804919"/>
    <w:rPr>
      <w:rFonts w:ascii="Gill Sans Light" w:hAnsi="Gill Sans Light"/>
      <w:b w:val="0"/>
      <w:i w:val="0"/>
      <w:color w:val="0563C1" w:themeColor="hyperlink"/>
      <w:u w:val="single"/>
    </w:rPr>
  </w:style>
  <w:style w:type="paragraph" w:customStyle="1" w:styleId="DoctitleRT">
    <w:name w:val="Doc title (RT)"/>
    <w:basedOn w:val="Normal"/>
    <w:qFormat/>
    <w:rsid w:val="00073276"/>
    <w:rPr>
      <w:rFonts w:ascii="Gill Sans Light" w:hAnsi="Gill Sans Light" w:cs="Gill Sans Light"/>
      <w:caps/>
      <w:color w:val="1C1F4D"/>
      <w:spacing w:val="-8"/>
      <w:sz w:val="48"/>
      <w:szCs w:val="84"/>
    </w:rPr>
  </w:style>
  <w:style w:type="character" w:customStyle="1" w:styleId="DoctitleboldRT">
    <w:name w:val="Doc title bold (RT)"/>
    <w:basedOn w:val="DefaultParagraphFont"/>
    <w:uiPriority w:val="1"/>
    <w:qFormat/>
    <w:rsid w:val="00073276"/>
    <w:rPr>
      <w:rFonts w:ascii="GILL SANS SEMIBOLD" w:hAnsi="GILL SANS SEMIBOLD" w:cs="Gill Sans Light"/>
      <w:caps/>
      <w:color w:val="1C1F4D"/>
      <w:spacing w:val="-8"/>
      <w:sz w:val="48"/>
      <w:szCs w:val="84"/>
    </w:rPr>
  </w:style>
  <w:style w:type="character" w:styleId="FollowedHyperlink">
    <w:name w:val="FollowedHyperlink"/>
    <w:basedOn w:val="DefaultParagraphFont"/>
    <w:uiPriority w:val="99"/>
    <w:semiHidden/>
    <w:unhideWhenUsed/>
    <w:rsid w:val="00934E56"/>
    <w:rPr>
      <w:color w:val="954F72" w:themeColor="followedHyperlink"/>
      <w:u w:val="single"/>
    </w:rPr>
  </w:style>
  <w:style w:type="character" w:customStyle="1" w:styleId="Heading1Char">
    <w:name w:val="Heading 1 Char"/>
    <w:basedOn w:val="DefaultParagraphFont"/>
    <w:link w:val="Heading1"/>
    <w:uiPriority w:val="9"/>
    <w:rsid w:val="004C51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C516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C516D"/>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4C516D"/>
    <w:rPr>
      <w:rFonts w:ascii="Times New Roman" w:eastAsia="Times New Roman" w:hAnsi="Times New Roman" w:cs="Times New Roman"/>
      <w:b/>
      <w:bCs/>
      <w:lang w:eastAsia="en-AU"/>
    </w:rPr>
  </w:style>
  <w:style w:type="character" w:customStyle="1" w:styleId="Heading5Char">
    <w:name w:val="Heading 5 Char"/>
    <w:basedOn w:val="DefaultParagraphFont"/>
    <w:link w:val="Heading5"/>
    <w:uiPriority w:val="9"/>
    <w:rsid w:val="004C516D"/>
    <w:rPr>
      <w:rFonts w:ascii="Times New Roman" w:eastAsia="Times New Roman" w:hAnsi="Times New Roman" w:cs="Times New Roman"/>
      <w:b/>
      <w:bCs/>
      <w:sz w:val="20"/>
      <w:szCs w:val="20"/>
      <w:lang w:eastAsia="en-AU"/>
    </w:rPr>
  </w:style>
  <w:style w:type="paragraph" w:customStyle="1" w:styleId="Body">
    <w:name w:val="Body"/>
    <w:basedOn w:val="Normal"/>
    <w:link w:val="BodyChar"/>
    <w:qFormat/>
    <w:rsid w:val="004C516D"/>
    <w:pPr>
      <w:spacing w:before="100" w:beforeAutospacing="1" w:after="100" w:afterAutospacing="1" w:line="276" w:lineRule="auto"/>
    </w:pPr>
    <w:rPr>
      <w:rFonts w:ascii="Lao UI" w:eastAsia="Calibri" w:hAnsi="Lao UI" w:cs="Lao UI"/>
      <w:color w:val="404040" w:themeColor="text1" w:themeTint="BF"/>
      <w:sz w:val="20"/>
      <w:szCs w:val="20"/>
      <w:lang w:val="en-GB" w:eastAsia="en-GB"/>
    </w:rPr>
  </w:style>
  <w:style w:type="character" w:customStyle="1" w:styleId="BodyChar">
    <w:name w:val="Body Char"/>
    <w:basedOn w:val="DefaultParagraphFont"/>
    <w:link w:val="Body"/>
    <w:rsid w:val="004C516D"/>
    <w:rPr>
      <w:rFonts w:ascii="Lao UI" w:eastAsia="Calibri" w:hAnsi="Lao UI" w:cs="Lao UI"/>
      <w:color w:val="404040" w:themeColor="text1" w:themeTint="BF"/>
      <w:sz w:val="20"/>
      <w:szCs w:val="20"/>
      <w:lang w:val="en-GB" w:eastAsia="en-GB"/>
    </w:rPr>
  </w:style>
  <w:style w:type="character" w:styleId="CommentReference">
    <w:name w:val="annotation reference"/>
    <w:basedOn w:val="DefaultParagraphFont"/>
    <w:uiPriority w:val="99"/>
    <w:semiHidden/>
    <w:unhideWhenUsed/>
    <w:rsid w:val="004C516D"/>
    <w:rPr>
      <w:sz w:val="16"/>
      <w:szCs w:val="16"/>
    </w:rPr>
  </w:style>
  <w:style w:type="paragraph" w:styleId="CommentText">
    <w:name w:val="annotation text"/>
    <w:basedOn w:val="Normal"/>
    <w:link w:val="CommentTextChar"/>
    <w:uiPriority w:val="99"/>
    <w:unhideWhenUsed/>
    <w:rsid w:val="004C516D"/>
    <w:pPr>
      <w:spacing w:after="160"/>
    </w:pPr>
    <w:rPr>
      <w:sz w:val="20"/>
      <w:szCs w:val="20"/>
    </w:rPr>
  </w:style>
  <w:style w:type="character" w:customStyle="1" w:styleId="CommentTextChar">
    <w:name w:val="Comment Text Char"/>
    <w:basedOn w:val="DefaultParagraphFont"/>
    <w:link w:val="CommentText"/>
    <w:uiPriority w:val="99"/>
    <w:rsid w:val="004C516D"/>
    <w:rPr>
      <w:sz w:val="20"/>
      <w:szCs w:val="20"/>
    </w:rPr>
  </w:style>
  <w:style w:type="paragraph" w:styleId="BalloonText">
    <w:name w:val="Balloon Text"/>
    <w:basedOn w:val="Normal"/>
    <w:link w:val="BalloonTextChar"/>
    <w:uiPriority w:val="99"/>
    <w:semiHidden/>
    <w:unhideWhenUsed/>
    <w:rsid w:val="004C5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16D"/>
    <w:rPr>
      <w:rFonts w:ascii="Segoe UI" w:hAnsi="Segoe UI" w:cs="Segoe UI"/>
      <w:sz w:val="18"/>
      <w:szCs w:val="18"/>
    </w:rPr>
  </w:style>
  <w:style w:type="character" w:customStyle="1" w:styleId="ListBulletChar">
    <w:name w:val="List Bullet Char"/>
    <w:aliases w:val="Bullet Char"/>
    <w:basedOn w:val="DefaultParagraphFont"/>
    <w:link w:val="ListBullet"/>
    <w:locked/>
    <w:rsid w:val="004C516D"/>
    <w:rPr>
      <w:rFonts w:ascii="Calibri" w:hAnsi="Calibri" w:cs="Calibri"/>
      <w:color w:val="000000" w:themeColor="text1"/>
    </w:rPr>
  </w:style>
  <w:style w:type="paragraph" w:styleId="ListBullet">
    <w:name w:val="List Bullet"/>
    <w:aliases w:val="Bullet"/>
    <w:basedOn w:val="Normal"/>
    <w:link w:val="ListBulletChar"/>
    <w:unhideWhenUsed/>
    <w:qFormat/>
    <w:rsid w:val="004C516D"/>
    <w:pPr>
      <w:numPr>
        <w:numId w:val="4"/>
      </w:numPr>
      <w:spacing w:before="60" w:after="60"/>
    </w:pPr>
    <w:rPr>
      <w:rFonts w:ascii="Calibri" w:hAnsi="Calibri" w:cs="Calibri"/>
      <w:color w:val="000000" w:themeColor="text1"/>
    </w:rPr>
  </w:style>
  <w:style w:type="paragraph" w:styleId="ListBullet2">
    <w:name w:val="List Bullet 2"/>
    <w:basedOn w:val="Normal"/>
    <w:uiPriority w:val="3"/>
    <w:semiHidden/>
    <w:unhideWhenUsed/>
    <w:rsid w:val="004C516D"/>
    <w:pPr>
      <w:numPr>
        <w:ilvl w:val="1"/>
        <w:numId w:val="4"/>
      </w:numPr>
      <w:spacing w:before="60" w:after="120" w:line="240" w:lineRule="atLeast"/>
    </w:pPr>
    <w:rPr>
      <w:rFonts w:ascii="Calibri" w:eastAsia="Century Gothic" w:hAnsi="Calibri"/>
      <w:color w:val="000000" w:themeColor="text1"/>
      <w:sz w:val="20"/>
      <w:szCs w:val="20"/>
    </w:rPr>
  </w:style>
  <w:style w:type="paragraph" w:styleId="ListBullet3">
    <w:name w:val="List Bullet 3"/>
    <w:basedOn w:val="Normal"/>
    <w:uiPriority w:val="3"/>
    <w:semiHidden/>
    <w:unhideWhenUsed/>
    <w:rsid w:val="004C516D"/>
    <w:pPr>
      <w:numPr>
        <w:ilvl w:val="2"/>
        <w:numId w:val="4"/>
      </w:numPr>
      <w:spacing w:before="60" w:after="120" w:line="240" w:lineRule="atLeast"/>
    </w:pPr>
    <w:rPr>
      <w:rFonts w:ascii="Calibri" w:eastAsia="Century Gothic" w:hAnsi="Calibri"/>
      <w:color w:val="000000" w:themeColor="text1"/>
      <w:sz w:val="20"/>
      <w:szCs w:val="20"/>
    </w:rPr>
  </w:style>
  <w:style w:type="numbering" w:customStyle="1" w:styleId="Bullets">
    <w:name w:val="_Bullets"/>
    <w:uiPriority w:val="99"/>
    <w:rsid w:val="004C516D"/>
    <w:pPr>
      <w:numPr>
        <w:numId w:val="4"/>
      </w:numPr>
    </w:pPr>
  </w:style>
  <w:style w:type="paragraph" w:styleId="NormalWeb">
    <w:name w:val="Normal (Web)"/>
    <w:basedOn w:val="Normal"/>
    <w:uiPriority w:val="99"/>
    <w:unhideWhenUsed/>
    <w:rsid w:val="004C516D"/>
    <w:pPr>
      <w:spacing w:before="100" w:beforeAutospacing="1" w:after="100" w:afterAutospacing="1"/>
    </w:pPr>
    <w:rPr>
      <w:rFonts w:ascii="Times New Roman" w:eastAsia="Times New Roman" w:hAnsi="Times New Roman" w:cs="Times New Roman"/>
      <w:lang w:eastAsia="en-AU"/>
    </w:rPr>
  </w:style>
  <w:style w:type="paragraph" w:styleId="CommentSubject">
    <w:name w:val="annotation subject"/>
    <w:basedOn w:val="CommentText"/>
    <w:next w:val="CommentText"/>
    <w:link w:val="CommentSubjectChar"/>
    <w:uiPriority w:val="99"/>
    <w:semiHidden/>
    <w:unhideWhenUsed/>
    <w:rsid w:val="004C516D"/>
    <w:rPr>
      <w:b/>
      <w:bCs/>
    </w:rPr>
  </w:style>
  <w:style w:type="character" w:customStyle="1" w:styleId="CommentSubjectChar">
    <w:name w:val="Comment Subject Char"/>
    <w:basedOn w:val="CommentTextChar"/>
    <w:link w:val="CommentSubject"/>
    <w:uiPriority w:val="99"/>
    <w:semiHidden/>
    <w:rsid w:val="004C516D"/>
    <w:rPr>
      <w:b/>
      <w:bCs/>
      <w:sz w:val="20"/>
      <w:szCs w:val="20"/>
    </w:rPr>
  </w:style>
  <w:style w:type="paragraph" w:styleId="FootnoteText">
    <w:name w:val="footnote text"/>
    <w:basedOn w:val="Normal"/>
    <w:link w:val="FootnoteTextChar"/>
    <w:uiPriority w:val="99"/>
    <w:unhideWhenUsed/>
    <w:rsid w:val="004C516D"/>
    <w:rPr>
      <w:sz w:val="20"/>
      <w:szCs w:val="20"/>
    </w:rPr>
  </w:style>
  <w:style w:type="character" w:customStyle="1" w:styleId="FootnoteTextChar">
    <w:name w:val="Footnote Text Char"/>
    <w:basedOn w:val="DefaultParagraphFont"/>
    <w:link w:val="FootnoteText"/>
    <w:uiPriority w:val="99"/>
    <w:rsid w:val="004C516D"/>
    <w:rPr>
      <w:sz w:val="20"/>
      <w:szCs w:val="20"/>
    </w:rPr>
  </w:style>
  <w:style w:type="character" w:styleId="FootnoteReference">
    <w:name w:val="footnote reference"/>
    <w:basedOn w:val="DefaultParagraphFont"/>
    <w:uiPriority w:val="99"/>
    <w:semiHidden/>
    <w:unhideWhenUsed/>
    <w:rsid w:val="004C516D"/>
    <w:rPr>
      <w:vertAlign w:val="superscript"/>
    </w:rPr>
  </w:style>
  <w:style w:type="character" w:styleId="UnresolvedMention">
    <w:name w:val="Unresolved Mention"/>
    <w:basedOn w:val="DefaultParagraphFont"/>
    <w:uiPriority w:val="99"/>
    <w:semiHidden/>
    <w:unhideWhenUsed/>
    <w:rsid w:val="004C516D"/>
    <w:rPr>
      <w:color w:val="605E5C"/>
      <w:shd w:val="clear" w:color="auto" w:fill="E1DFDD"/>
    </w:rPr>
  </w:style>
  <w:style w:type="paragraph" w:styleId="Title">
    <w:name w:val="Title"/>
    <w:aliases w:val="Short Title"/>
    <w:basedOn w:val="Normal"/>
    <w:next w:val="BodyText"/>
    <w:link w:val="TitleChar"/>
    <w:uiPriority w:val="10"/>
    <w:qFormat/>
    <w:rsid w:val="004C516D"/>
    <w:pPr>
      <w:suppressAutoHyphens/>
      <w:spacing w:before="120" w:after="200" w:line="880" w:lineRule="exact"/>
    </w:pPr>
    <w:rPr>
      <w:rFonts w:asciiTheme="majorHAnsi" w:eastAsiaTheme="majorEastAsia" w:hAnsiTheme="majorHAnsi" w:cstheme="majorBidi"/>
      <w:color w:val="000000" w:themeColor="text1"/>
      <w:sz w:val="80"/>
      <w:szCs w:val="56"/>
    </w:rPr>
  </w:style>
  <w:style w:type="character" w:customStyle="1" w:styleId="TitleChar">
    <w:name w:val="Title Char"/>
    <w:aliases w:val="Short Title Char"/>
    <w:basedOn w:val="DefaultParagraphFont"/>
    <w:link w:val="Title"/>
    <w:uiPriority w:val="10"/>
    <w:rsid w:val="004C516D"/>
    <w:rPr>
      <w:rFonts w:asciiTheme="majorHAnsi" w:eastAsiaTheme="majorEastAsia" w:hAnsiTheme="majorHAnsi" w:cstheme="majorBidi"/>
      <w:color w:val="000000" w:themeColor="text1"/>
      <w:sz w:val="80"/>
      <w:szCs w:val="56"/>
    </w:rPr>
  </w:style>
  <w:style w:type="paragraph" w:styleId="BodyText">
    <w:name w:val="Body Text"/>
    <w:basedOn w:val="Normal"/>
    <w:link w:val="BodyTextChar"/>
    <w:uiPriority w:val="99"/>
    <w:unhideWhenUsed/>
    <w:rsid w:val="004C516D"/>
    <w:pPr>
      <w:spacing w:after="120" w:line="259" w:lineRule="auto"/>
    </w:pPr>
    <w:rPr>
      <w:sz w:val="22"/>
      <w:szCs w:val="22"/>
    </w:rPr>
  </w:style>
  <w:style w:type="character" w:customStyle="1" w:styleId="BodyTextChar">
    <w:name w:val="Body Text Char"/>
    <w:basedOn w:val="DefaultParagraphFont"/>
    <w:link w:val="BodyText"/>
    <w:uiPriority w:val="99"/>
    <w:rsid w:val="004C516D"/>
    <w:rPr>
      <w:sz w:val="22"/>
      <w:szCs w:val="22"/>
    </w:rPr>
  </w:style>
  <w:style w:type="paragraph" w:styleId="TOCHeading">
    <w:name w:val="TOC Heading"/>
    <w:basedOn w:val="Heading1"/>
    <w:next w:val="Normal"/>
    <w:uiPriority w:val="39"/>
    <w:semiHidden/>
    <w:qFormat/>
    <w:rsid w:val="004C516D"/>
    <w:pPr>
      <w:outlineLvl w:val="9"/>
    </w:pPr>
  </w:style>
  <w:style w:type="paragraph" w:styleId="TOC1">
    <w:name w:val="toc 1"/>
    <w:basedOn w:val="Normal"/>
    <w:next w:val="Normal"/>
    <w:autoRedefine/>
    <w:uiPriority w:val="39"/>
    <w:qFormat/>
    <w:rsid w:val="004C516D"/>
    <w:pPr>
      <w:tabs>
        <w:tab w:val="right" w:leader="dot" w:pos="9016"/>
      </w:tabs>
      <w:spacing w:before="120" w:after="100" w:line="280" w:lineRule="exact"/>
    </w:pPr>
    <w:rPr>
      <w:b/>
      <w:color w:val="000000" w:themeColor="text1"/>
      <w:sz w:val="22"/>
      <w:szCs w:val="22"/>
    </w:rPr>
  </w:style>
  <w:style w:type="paragraph" w:styleId="TOC2">
    <w:name w:val="toc 2"/>
    <w:basedOn w:val="Normal"/>
    <w:next w:val="Normal"/>
    <w:autoRedefine/>
    <w:uiPriority w:val="39"/>
    <w:rsid w:val="004C516D"/>
    <w:pPr>
      <w:tabs>
        <w:tab w:val="right" w:leader="dot" w:pos="9016"/>
      </w:tabs>
      <w:spacing w:before="120" w:after="100" w:line="280" w:lineRule="exact"/>
      <w:ind w:left="220"/>
    </w:pPr>
    <w:rPr>
      <w:color w:val="000000" w:themeColor="text1"/>
      <w:sz w:val="22"/>
      <w:szCs w:val="22"/>
    </w:rPr>
  </w:style>
  <w:style w:type="paragraph" w:styleId="TOC3">
    <w:name w:val="toc 3"/>
    <w:basedOn w:val="Normal"/>
    <w:next w:val="Normal"/>
    <w:autoRedefine/>
    <w:uiPriority w:val="39"/>
    <w:rsid w:val="004C516D"/>
    <w:pPr>
      <w:spacing w:before="120" w:after="100" w:line="280" w:lineRule="exact"/>
      <w:ind w:left="440"/>
    </w:pPr>
    <w:rPr>
      <w:color w:val="000000" w:themeColor="text1"/>
      <w:sz w:val="22"/>
      <w:szCs w:val="22"/>
    </w:rPr>
  </w:style>
  <w:style w:type="character" w:customStyle="1" w:styleId="BodytextBold">
    <w:name w:val="Body text Bold"/>
    <w:basedOn w:val="Strong"/>
    <w:uiPriority w:val="1"/>
    <w:qFormat/>
    <w:rsid w:val="004C516D"/>
    <w:rPr>
      <w:rFonts w:asciiTheme="minorHAnsi" w:hAnsiTheme="minorHAnsi"/>
      <w:b/>
      <w:bCs/>
      <w:color w:val="000000" w:themeColor="text1"/>
      <w:sz w:val="22"/>
    </w:rPr>
  </w:style>
  <w:style w:type="character" w:styleId="Strong">
    <w:name w:val="Strong"/>
    <w:basedOn w:val="DefaultParagraphFont"/>
    <w:uiPriority w:val="22"/>
    <w:qFormat/>
    <w:rsid w:val="004C516D"/>
    <w:rPr>
      <w:b/>
      <w:bCs/>
    </w:rPr>
  </w:style>
  <w:style w:type="paragraph" w:styleId="Revision">
    <w:name w:val="Revision"/>
    <w:hidden/>
    <w:uiPriority w:val="99"/>
    <w:semiHidden/>
    <w:rsid w:val="004C516D"/>
    <w:rPr>
      <w:sz w:val="22"/>
      <w:szCs w:val="22"/>
    </w:rPr>
  </w:style>
  <w:style w:type="character" w:styleId="Emphasis">
    <w:name w:val="Emphasis"/>
    <w:basedOn w:val="DefaultParagraphFont"/>
    <w:uiPriority w:val="20"/>
    <w:qFormat/>
    <w:rsid w:val="004C516D"/>
    <w:rPr>
      <w:i/>
      <w:iCs/>
    </w:rPr>
  </w:style>
  <w:style w:type="paragraph" w:styleId="NoSpacing">
    <w:name w:val="No Spacing"/>
    <w:uiPriority w:val="1"/>
    <w:qFormat/>
    <w:rsid w:val="00DC6D9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39286">
      <w:bodyDiv w:val="1"/>
      <w:marLeft w:val="0"/>
      <w:marRight w:val="0"/>
      <w:marTop w:val="0"/>
      <w:marBottom w:val="0"/>
      <w:divBdr>
        <w:top w:val="none" w:sz="0" w:space="0" w:color="auto"/>
        <w:left w:val="none" w:sz="0" w:space="0" w:color="auto"/>
        <w:bottom w:val="none" w:sz="0" w:space="0" w:color="auto"/>
        <w:right w:val="none" w:sz="0" w:space="0" w:color="auto"/>
      </w:divBdr>
    </w:div>
    <w:div w:id="82694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m-bowditch\Desktop\Australian%20Energy%20Statistics%202020%20Table%20C%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bowditch\AppData\Local\Microsoft\Windows\INetCache\Content.Outlook\C76OMPG9\Copy%20of%20Australian%20Energy%20Statistics%202020%20Table%20F%20-%20LPG-NG%20compariso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bowditch\AppData\Local\Microsoft\Windows\INetCache\Content.Outlook\C76OMPG9\Copy%20of%20Australian%20Energy%20Statistics%202020%20Table%20F%20-%20LPG-NG%20compariso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bowditch\Desktop\AETV%20electricity%20outpu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bowditch\Desktop\AETV%20electricity%20outpu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bowditch\AppData\Local\Microsoft\Windows\INetCache\Content.Outlook\C76OMPG9\Actual%20Flow%20and%20Storage_20210721%20-%20TGP.csv"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w="19050">
              <a:round/>
            </a:ln>
          </c:spPr>
          <c:dPt>
            <c:idx val="0"/>
            <c:bubble3D val="0"/>
            <c:spPr>
              <a:solidFill>
                <a:schemeClr val="accent1"/>
              </a:solidFill>
              <a:ln w="19050">
                <a:solidFill>
                  <a:schemeClr val="lt1"/>
                </a:solidFill>
                <a:round/>
              </a:ln>
              <a:effectLst/>
            </c:spPr>
            <c:extLst>
              <c:ext xmlns:c16="http://schemas.microsoft.com/office/drawing/2014/chart" uri="{C3380CC4-5D6E-409C-BE32-E72D297353CC}">
                <c16:uniqueId val="{00000001-F667-4205-B59D-A0B2D8C78486}"/>
              </c:ext>
            </c:extLst>
          </c:dPt>
          <c:dPt>
            <c:idx val="1"/>
            <c:bubble3D val="0"/>
            <c:spPr>
              <a:solidFill>
                <a:schemeClr val="accent3"/>
              </a:solidFill>
              <a:ln w="19050">
                <a:solidFill>
                  <a:schemeClr val="lt1"/>
                </a:solidFill>
                <a:round/>
              </a:ln>
              <a:effectLst/>
            </c:spPr>
            <c:extLst>
              <c:ext xmlns:c16="http://schemas.microsoft.com/office/drawing/2014/chart" uri="{C3380CC4-5D6E-409C-BE32-E72D297353CC}">
                <c16:uniqueId val="{00000003-F667-4205-B59D-A0B2D8C78486}"/>
              </c:ext>
            </c:extLst>
          </c:dPt>
          <c:dPt>
            <c:idx val="2"/>
            <c:bubble3D val="0"/>
            <c:explosion val="19"/>
            <c:spPr>
              <a:solidFill>
                <a:schemeClr val="accent5"/>
              </a:solidFill>
              <a:ln w="19050">
                <a:solidFill>
                  <a:schemeClr val="lt1"/>
                </a:solidFill>
                <a:round/>
              </a:ln>
              <a:effectLst/>
            </c:spPr>
            <c:extLst>
              <c:ext xmlns:c16="http://schemas.microsoft.com/office/drawing/2014/chart" uri="{C3380CC4-5D6E-409C-BE32-E72D297353CC}">
                <c16:uniqueId val="{00000005-F667-4205-B59D-A0B2D8C78486}"/>
              </c:ext>
            </c:extLst>
          </c:dPt>
          <c:dPt>
            <c:idx val="3"/>
            <c:bubble3D val="0"/>
            <c:spPr>
              <a:solidFill>
                <a:schemeClr val="accent1">
                  <a:lumMod val="60000"/>
                </a:schemeClr>
              </a:solidFill>
              <a:ln w="19050">
                <a:solidFill>
                  <a:schemeClr val="lt1"/>
                </a:solidFill>
                <a:round/>
              </a:ln>
              <a:effectLst/>
            </c:spPr>
            <c:extLst>
              <c:ext xmlns:c16="http://schemas.microsoft.com/office/drawing/2014/chart" uri="{C3380CC4-5D6E-409C-BE32-E72D297353CC}">
                <c16:uniqueId val="{00000007-F667-4205-B59D-A0B2D8C78486}"/>
              </c:ext>
            </c:extLst>
          </c:dPt>
          <c:dLbls>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TAS!$C$27:$F$27</c:f>
              <c:strCache>
                <c:ptCount val="4"/>
                <c:pt idx="0">
                  <c:v>Renewables</c:v>
                </c:pt>
                <c:pt idx="1">
                  <c:v>Oil</c:v>
                </c:pt>
                <c:pt idx="2">
                  <c:v>Gas</c:v>
                </c:pt>
                <c:pt idx="3">
                  <c:v>Coal</c:v>
                </c:pt>
              </c:strCache>
            </c:strRef>
          </c:cat>
          <c:val>
            <c:numRef>
              <c:f>TAS!$C$28:$F$28</c:f>
              <c:numCache>
                <c:formatCode>#,##0.0</c:formatCode>
                <c:ptCount val="4"/>
                <c:pt idx="0">
                  <c:v>46.557000000000002</c:v>
                </c:pt>
                <c:pt idx="1">
                  <c:v>41.554000000000002</c:v>
                </c:pt>
                <c:pt idx="2">
                  <c:v>10.009</c:v>
                </c:pt>
                <c:pt idx="3">
                  <c:v>10.045</c:v>
                </c:pt>
              </c:numCache>
            </c:numRef>
          </c:val>
          <c:extLst>
            <c:ext xmlns:c16="http://schemas.microsoft.com/office/drawing/2014/chart" uri="{C3380CC4-5D6E-409C-BE32-E72D297353CC}">
              <c16:uniqueId val="{00000008-F667-4205-B59D-A0B2D8C78486}"/>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438399182403085"/>
          <c:y val="0.24002024984738166"/>
          <c:w val="0.4265122523401389"/>
          <c:h val="0.6974799210790761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FB3-4351-96FC-640AEBC4AADC}"/>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2FB3-4351-96FC-640AEBC4AADC}"/>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2FB3-4351-96FC-640AEBC4AADC}"/>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2FB3-4351-96FC-640AEBC4AADC}"/>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2FB3-4351-96FC-640AEBC4AADC}"/>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2FB3-4351-96FC-640AEBC4AADC}"/>
              </c:ext>
            </c:extLst>
          </c:dPt>
          <c:dLbls>
            <c:dLbl>
              <c:idx val="0"/>
              <c:layout>
                <c:manualLayout>
                  <c:x val="-1.5792442188381276E-2"/>
                  <c:y val="0.12350443844075647"/>
                </c:manualLayout>
              </c:layout>
              <c:numFmt formatCode="0.0%" sourceLinked="0"/>
              <c:spPr>
                <a:solidFill>
                  <a:sysClr val="window" lastClr="FFFFFF"/>
                </a:solidFill>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borderCallout1">
                      <a:avLst>
                        <a:gd name="adj1" fmla="val 43539"/>
                        <a:gd name="adj2" fmla="val -2353"/>
                        <a:gd name="adj3" fmla="val 47022"/>
                        <a:gd name="adj4" fmla="val -19891"/>
                      </a:avLst>
                    </a:prstGeom>
                    <a:noFill/>
                    <a:ln>
                      <a:noFill/>
                    </a:ln>
                  </c15:spPr>
                </c:ext>
                <c:ext xmlns:c16="http://schemas.microsoft.com/office/drawing/2014/chart" uri="{C3380CC4-5D6E-409C-BE32-E72D297353CC}">
                  <c16:uniqueId val="{00000001-2FB3-4351-96FC-640AEBC4AADC}"/>
                </c:ext>
              </c:extLst>
            </c:dLbl>
            <c:dLbl>
              <c:idx val="1"/>
              <c:layout>
                <c:manualLayout>
                  <c:x val="2.068034015515938E-17"/>
                  <c:y val="-1.4151386759975908E-16"/>
                </c:manualLayout>
              </c:layout>
              <c:numFmt formatCode="0.0%" sourceLinked="0"/>
              <c:spPr>
                <a:solidFill>
                  <a:sysClr val="window" lastClr="FFFFFF"/>
                </a:solidFill>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borderCallout1">
                      <a:avLst>
                        <a:gd name="adj1" fmla="val 45521"/>
                        <a:gd name="adj2" fmla="val 101402"/>
                        <a:gd name="adj3" fmla="val 29275"/>
                        <a:gd name="adj4" fmla="val 121326"/>
                      </a:avLst>
                    </a:prstGeom>
                    <a:noFill/>
                    <a:ln>
                      <a:noFill/>
                    </a:ln>
                  </c15:spPr>
                </c:ext>
                <c:ext xmlns:c16="http://schemas.microsoft.com/office/drawing/2014/chart" uri="{C3380CC4-5D6E-409C-BE32-E72D297353CC}">
                  <c16:uniqueId val="{00000003-2FB3-4351-96FC-640AEBC4AADC}"/>
                </c:ext>
              </c:extLst>
            </c:dLbl>
            <c:dLbl>
              <c:idx val="2"/>
              <c:layout>
                <c:manualLayout>
                  <c:x val="-4.3204675557687269E-2"/>
                  <c:y val="5.4026809944781568E-2"/>
                </c:manualLayout>
              </c:layout>
              <c:numFmt formatCode="0.0%" sourceLinked="0"/>
              <c:spPr>
                <a:solidFill>
                  <a:sysClr val="window" lastClr="FFFFFF"/>
                </a:solidFill>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borderCallout1">
                      <a:avLst>
                        <a:gd name="adj1" fmla="val 42547"/>
                        <a:gd name="adj2" fmla="val 99044"/>
                        <a:gd name="adj3" fmla="val 45406"/>
                        <a:gd name="adj4" fmla="val 161265"/>
                      </a:avLst>
                    </a:prstGeom>
                    <a:noFill/>
                    <a:ln>
                      <a:noFill/>
                    </a:ln>
                  </c15:spPr>
                </c:ext>
                <c:ext xmlns:c16="http://schemas.microsoft.com/office/drawing/2014/chart" uri="{C3380CC4-5D6E-409C-BE32-E72D297353CC}">
                  <c16:uniqueId val="{00000005-2FB3-4351-96FC-640AEBC4AADC}"/>
                </c:ext>
              </c:extLst>
            </c:dLbl>
            <c:dLbl>
              <c:idx val="3"/>
              <c:layout>
                <c:manualLayout>
                  <c:x val="-0.12364824955256228"/>
                  <c:y val="-2.3156474410208565E-2"/>
                </c:manualLayout>
              </c:layout>
              <c:numFmt formatCode="0.0%" sourceLinked="0"/>
              <c:spPr>
                <a:solidFill>
                  <a:sysClr val="window" lastClr="FFFFFF"/>
                </a:solidFill>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borderCallout1">
                      <a:avLst>
                        <a:gd name="adj1" fmla="val 53868"/>
                        <a:gd name="adj2" fmla="val 98105"/>
                        <a:gd name="adj3" fmla="val 115369"/>
                        <a:gd name="adj4" fmla="val 168530"/>
                      </a:avLst>
                    </a:prstGeom>
                    <a:noFill/>
                    <a:ln>
                      <a:noFill/>
                    </a:ln>
                  </c15:spPr>
                </c:ext>
                <c:ext xmlns:c16="http://schemas.microsoft.com/office/drawing/2014/chart" uri="{C3380CC4-5D6E-409C-BE32-E72D297353CC}">
                  <c16:uniqueId val="{00000007-2FB3-4351-96FC-640AEBC4AADC}"/>
                </c:ext>
              </c:extLst>
            </c:dLbl>
            <c:dLbl>
              <c:idx val="4"/>
              <c:layout>
                <c:manualLayout>
                  <c:x val="7.0796460176991149E-3"/>
                  <c:y val="-5.0168814566519865E-2"/>
                </c:manualLayout>
              </c:layout>
              <c:numFmt formatCode="0.0%" sourceLinked="0"/>
              <c:spPr>
                <a:solidFill>
                  <a:sysClr val="window" lastClr="FFFFFF"/>
                </a:solidFill>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borderCallout1">
                      <a:avLst>
                        <a:gd name="adj1" fmla="val 97249"/>
                        <a:gd name="adj2" fmla="val 45029"/>
                        <a:gd name="adj3" fmla="val 145743"/>
                        <a:gd name="adj4" fmla="val 54754"/>
                      </a:avLst>
                    </a:prstGeom>
                    <a:noFill/>
                    <a:ln>
                      <a:noFill/>
                    </a:ln>
                  </c15:spPr>
                </c:ext>
                <c:ext xmlns:c16="http://schemas.microsoft.com/office/drawing/2014/chart" uri="{C3380CC4-5D6E-409C-BE32-E72D297353CC}">
                  <c16:uniqueId val="{00000009-2FB3-4351-96FC-640AEBC4AADC}"/>
                </c:ext>
              </c:extLst>
            </c:dLbl>
            <c:dLbl>
              <c:idx val="5"/>
              <c:layout>
                <c:manualLayout>
                  <c:x val="0.16848599508817735"/>
                  <c:y val="1.5436231412794744E-2"/>
                </c:manualLayout>
              </c:layout>
              <c:numFmt formatCode="0.0%" sourceLinked="0"/>
              <c:spPr>
                <a:solidFill>
                  <a:sysClr val="window" lastClr="FFFFFF"/>
                </a:solidFill>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borderCallout1">
                      <a:avLst>
                        <a:gd name="adj1" fmla="val 53868"/>
                        <a:gd name="adj2" fmla="val -3756"/>
                        <a:gd name="adj3" fmla="val 96183"/>
                        <a:gd name="adj4" fmla="val -49519"/>
                      </a:avLst>
                    </a:prstGeom>
                    <a:noFill/>
                    <a:ln>
                      <a:noFill/>
                    </a:ln>
                  </c15:spPr>
                </c:ext>
                <c:ext xmlns:c16="http://schemas.microsoft.com/office/drawing/2014/chart" uri="{C3380CC4-5D6E-409C-BE32-E72D297353CC}">
                  <c16:uniqueId val="{0000000B-2FB3-4351-96FC-640AEBC4AADC}"/>
                </c:ext>
              </c:extLst>
            </c:dLbl>
            <c:numFmt formatCode="0.0%" sourceLinked="0"/>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borderCallout1">
                    <a:avLst/>
                  </a:prstGeom>
                  <a:noFill/>
                  <a:ln>
                    <a:noFill/>
                  </a:ln>
                </c15:spPr>
              </c:ext>
            </c:extLst>
          </c:dLbls>
          <c:cat>
            <c:strRef>
              <c:f>Sheet1!$A$15:$A$20</c:f>
              <c:strCache>
                <c:ptCount val="6"/>
                <c:pt idx="0">
                  <c:v>Electricity, Gas, Water &amp; Waste Services</c:v>
                </c:pt>
                <c:pt idx="1">
                  <c:v>Manufacturing</c:v>
                </c:pt>
                <c:pt idx="2">
                  <c:v>Residential</c:v>
                </c:pt>
                <c:pt idx="3">
                  <c:v>Commercial and services</c:v>
                </c:pt>
                <c:pt idx="4">
                  <c:v>Transport, postal &amp; warehousing</c:v>
                </c:pt>
                <c:pt idx="5">
                  <c:v>Agriculture, Forestry and Fishing </c:v>
                </c:pt>
              </c:strCache>
            </c:strRef>
          </c:cat>
          <c:val>
            <c:numRef>
              <c:f>Sheet1!$B$15:$B$20</c:f>
              <c:numCache>
                <c:formatCode>General</c:formatCode>
                <c:ptCount val="6"/>
                <c:pt idx="0" formatCode="0.000">
                  <c:v>5.9080000000000004</c:v>
                </c:pt>
                <c:pt idx="1">
                  <c:v>4.2169999999999996</c:v>
                </c:pt>
                <c:pt idx="2" formatCode="0.000">
                  <c:v>0.96799999999999997</c:v>
                </c:pt>
                <c:pt idx="3" formatCode="0.000">
                  <c:v>0.219</c:v>
                </c:pt>
                <c:pt idx="4" formatCode="0.000">
                  <c:v>8.2000000000000003E-2</c:v>
                </c:pt>
                <c:pt idx="5">
                  <c:v>0.06</c:v>
                </c:pt>
              </c:numCache>
            </c:numRef>
          </c:val>
          <c:extLst>
            <c:ext xmlns:c16="http://schemas.microsoft.com/office/drawing/2014/chart" uri="{C3380CC4-5D6E-409C-BE32-E72D297353CC}">
              <c16:uniqueId val="{0000000C-2FB3-4351-96FC-640AEBC4AADC}"/>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D9E-4877-9203-25206839841C}"/>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FD9E-4877-9203-25206839841C}"/>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FD9E-4877-9203-25206839841C}"/>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FD9E-4877-9203-25206839841C}"/>
              </c:ext>
            </c:extLst>
          </c:dPt>
          <c:dLbls>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Sheet2!$A$1:$D$1</c:f>
              <c:strCache>
                <c:ptCount val="4"/>
                <c:pt idx="0">
                  <c:v>Cooking</c:v>
                </c:pt>
                <c:pt idx="1">
                  <c:v>Space heating</c:v>
                </c:pt>
                <c:pt idx="2">
                  <c:v>Water heating</c:v>
                </c:pt>
                <c:pt idx="3">
                  <c:v>Other appliances</c:v>
                </c:pt>
              </c:strCache>
            </c:strRef>
          </c:cat>
          <c:val>
            <c:numRef>
              <c:f>Sheet2!$A$2:$D$2</c:f>
              <c:numCache>
                <c:formatCode>General</c:formatCode>
                <c:ptCount val="4"/>
                <c:pt idx="0">
                  <c:v>37</c:v>
                </c:pt>
                <c:pt idx="1">
                  <c:v>30</c:v>
                </c:pt>
                <c:pt idx="2">
                  <c:v>26</c:v>
                </c:pt>
                <c:pt idx="3">
                  <c:v>6</c:v>
                </c:pt>
              </c:numCache>
            </c:numRef>
          </c:val>
          <c:extLst>
            <c:ext xmlns:c16="http://schemas.microsoft.com/office/drawing/2014/chart" uri="{C3380CC4-5D6E-409C-BE32-E72D297353CC}">
              <c16:uniqueId val="{00000008-FD9E-4877-9203-25206839841C}"/>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'TVPS only'!$A$3</c:f>
              <c:strCache>
                <c:ptCount val="1"/>
                <c:pt idx="0">
                  <c:v>Energy Supplied (GWh)</c:v>
                </c:pt>
              </c:strCache>
            </c:strRef>
          </c:tx>
          <c:spPr>
            <a:solidFill>
              <a:schemeClr val="accent1"/>
            </a:solidFill>
            <a:ln>
              <a:noFill/>
            </a:ln>
            <a:effectLst/>
          </c:spPr>
          <c:invertIfNegative val="0"/>
          <c:cat>
            <c:strRef>
              <c:f>'TVPS only'!$B$2:$J$2</c:f>
              <c:strCache>
                <c:ptCount val="9"/>
                <c:pt idx="0">
                  <c:v>2011-12</c:v>
                </c:pt>
                <c:pt idx="1">
                  <c:v>2012-13</c:v>
                </c:pt>
                <c:pt idx="2">
                  <c:v>2013-14</c:v>
                </c:pt>
                <c:pt idx="3">
                  <c:v>2014-15</c:v>
                </c:pt>
                <c:pt idx="4">
                  <c:v>2015-16</c:v>
                </c:pt>
                <c:pt idx="5">
                  <c:v>2016-17</c:v>
                </c:pt>
                <c:pt idx="6">
                  <c:v>2017-18</c:v>
                </c:pt>
                <c:pt idx="7">
                  <c:v>2018-19</c:v>
                </c:pt>
                <c:pt idx="8">
                  <c:v>2019-20</c:v>
                </c:pt>
              </c:strCache>
            </c:strRef>
          </c:cat>
          <c:val>
            <c:numRef>
              <c:f>'TVPS only'!$B$3:$J$3</c:f>
              <c:numCache>
                <c:formatCode>_-* #,##0_-;\-* #,##0_-;_-* "-"??_-;_-@_-</c:formatCode>
                <c:ptCount val="9"/>
                <c:pt idx="0">
                  <c:v>1516</c:v>
                </c:pt>
                <c:pt idx="1">
                  <c:v>1696</c:v>
                </c:pt>
                <c:pt idx="2">
                  <c:v>893</c:v>
                </c:pt>
                <c:pt idx="3">
                  <c:v>18</c:v>
                </c:pt>
                <c:pt idx="4">
                  <c:v>769</c:v>
                </c:pt>
                <c:pt idx="5">
                  <c:v>767</c:v>
                </c:pt>
                <c:pt idx="6">
                  <c:v>820</c:v>
                </c:pt>
                <c:pt idx="7">
                  <c:v>465</c:v>
                </c:pt>
                <c:pt idx="8">
                  <c:v>87</c:v>
                </c:pt>
              </c:numCache>
            </c:numRef>
          </c:val>
          <c:extLst>
            <c:ext xmlns:c16="http://schemas.microsoft.com/office/drawing/2014/chart" uri="{C3380CC4-5D6E-409C-BE32-E72D297353CC}">
              <c16:uniqueId val="{00000000-3AA1-477A-963B-B56D9F635382}"/>
            </c:ext>
          </c:extLst>
        </c:ser>
        <c:dLbls>
          <c:showLegendKey val="0"/>
          <c:showVal val="0"/>
          <c:showCatName val="0"/>
          <c:showSerName val="0"/>
          <c:showPercent val="0"/>
          <c:showBubbleSize val="0"/>
        </c:dLbls>
        <c:gapWidth val="219"/>
        <c:overlap val="-27"/>
        <c:axId val="2119382208"/>
        <c:axId val="2121145216"/>
      </c:barChart>
      <c:catAx>
        <c:axId val="211938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1145216"/>
        <c:crosses val="autoZero"/>
        <c:auto val="1"/>
        <c:lblAlgn val="ctr"/>
        <c:lblOffset val="100"/>
        <c:noMultiLvlLbl val="0"/>
      </c:catAx>
      <c:valAx>
        <c:axId val="2121145216"/>
        <c:scaling>
          <c:orientation val="minMax"/>
        </c:scaling>
        <c:delete val="0"/>
        <c:axPos val="l"/>
        <c:majorGridlines>
          <c:spPr>
            <a:ln w="9525" cap="flat" cmpd="sng" algn="ctr">
              <a:no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93822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'All electricity'!$F$2</c:f>
              <c:strCache>
                <c:ptCount val="1"/>
                <c:pt idx="0">
                  <c:v>2017-18</c:v>
                </c:pt>
              </c:strCache>
            </c:strRef>
          </c:tx>
          <c:spPr>
            <a:solidFill>
              <a:schemeClr val="accent1"/>
            </a:solidFill>
            <a:ln>
              <a:noFill/>
            </a:ln>
            <a:effectLst/>
          </c:spPr>
          <c:invertIfNegative val="0"/>
          <c:cat>
            <c:strRef>
              <c:f>'All electricity'!$A$3:$A$8</c:f>
              <c:strCache>
                <c:ptCount val="5"/>
                <c:pt idx="0">
                  <c:v>Hydroelectric generation</c:v>
                </c:pt>
                <c:pt idx="1">
                  <c:v>Wind generation</c:v>
                </c:pt>
                <c:pt idx="2">
                  <c:v>Thermal generation (TVPS)</c:v>
                </c:pt>
                <c:pt idx="3">
                  <c:v>Basslink imports</c:v>
                </c:pt>
                <c:pt idx="4">
                  <c:v>Basslink exports</c:v>
                </c:pt>
              </c:strCache>
              <c:extLst/>
            </c:strRef>
          </c:cat>
          <c:val>
            <c:numRef>
              <c:f>'All electricity'!$F$3:$F$8</c:f>
              <c:numCache>
                <c:formatCode>_-* #,##0_-;\-* #,##0_-;_-* "-"??_-;_-@_-</c:formatCode>
                <c:ptCount val="5"/>
                <c:pt idx="0">
                  <c:v>9178</c:v>
                </c:pt>
                <c:pt idx="1">
                  <c:v>1079</c:v>
                </c:pt>
                <c:pt idx="2">
                  <c:v>820</c:v>
                </c:pt>
                <c:pt idx="3">
                  <c:v>865</c:v>
                </c:pt>
                <c:pt idx="4">
                  <c:v>-1074</c:v>
                </c:pt>
              </c:numCache>
              <c:extLst/>
            </c:numRef>
          </c:val>
          <c:extLst>
            <c:ext xmlns:c16="http://schemas.microsoft.com/office/drawing/2014/chart" uri="{C3380CC4-5D6E-409C-BE32-E72D297353CC}">
              <c16:uniqueId val="{00000000-AD0D-4FD4-A455-7BCA9D62AD46}"/>
            </c:ext>
          </c:extLst>
        </c:ser>
        <c:ser>
          <c:idx val="1"/>
          <c:order val="1"/>
          <c:tx>
            <c:strRef>
              <c:f>'All electricity'!$G$2</c:f>
              <c:strCache>
                <c:ptCount val="1"/>
                <c:pt idx="0">
                  <c:v>2018-19</c:v>
                </c:pt>
              </c:strCache>
            </c:strRef>
          </c:tx>
          <c:spPr>
            <a:solidFill>
              <a:schemeClr val="accent3"/>
            </a:solidFill>
            <a:ln>
              <a:noFill/>
            </a:ln>
            <a:effectLst/>
          </c:spPr>
          <c:invertIfNegative val="0"/>
          <c:cat>
            <c:strRef>
              <c:f>'All electricity'!$A$3:$A$8</c:f>
              <c:strCache>
                <c:ptCount val="5"/>
                <c:pt idx="0">
                  <c:v>Hydroelectric generation</c:v>
                </c:pt>
                <c:pt idx="1">
                  <c:v>Wind generation</c:v>
                </c:pt>
                <c:pt idx="2">
                  <c:v>Thermal generation (TVPS)</c:v>
                </c:pt>
                <c:pt idx="3">
                  <c:v>Basslink imports</c:v>
                </c:pt>
                <c:pt idx="4">
                  <c:v>Basslink exports</c:v>
                </c:pt>
              </c:strCache>
              <c:extLst/>
            </c:strRef>
          </c:cat>
          <c:val>
            <c:numRef>
              <c:f>'All electricity'!$G$3:$G$8</c:f>
              <c:numCache>
                <c:formatCode>_-* #,##0_-;\-* #,##0_-;_-* "-"??_-;_-@_-</c:formatCode>
                <c:ptCount val="5"/>
                <c:pt idx="0">
                  <c:v>9681</c:v>
                </c:pt>
                <c:pt idx="1">
                  <c:v>1105</c:v>
                </c:pt>
                <c:pt idx="2">
                  <c:v>465</c:v>
                </c:pt>
                <c:pt idx="3">
                  <c:v>991</c:v>
                </c:pt>
                <c:pt idx="4">
                  <c:v>-1496</c:v>
                </c:pt>
              </c:numCache>
              <c:extLst/>
            </c:numRef>
          </c:val>
          <c:extLst>
            <c:ext xmlns:c16="http://schemas.microsoft.com/office/drawing/2014/chart" uri="{C3380CC4-5D6E-409C-BE32-E72D297353CC}">
              <c16:uniqueId val="{00000001-AD0D-4FD4-A455-7BCA9D62AD46}"/>
            </c:ext>
          </c:extLst>
        </c:ser>
        <c:ser>
          <c:idx val="2"/>
          <c:order val="2"/>
          <c:tx>
            <c:strRef>
              <c:f>'All electricity'!$H$2</c:f>
              <c:strCache>
                <c:ptCount val="1"/>
                <c:pt idx="0">
                  <c:v>2019-20</c:v>
                </c:pt>
              </c:strCache>
            </c:strRef>
          </c:tx>
          <c:spPr>
            <a:solidFill>
              <a:schemeClr val="accent5"/>
            </a:solidFill>
            <a:ln>
              <a:noFill/>
            </a:ln>
            <a:effectLst/>
          </c:spPr>
          <c:invertIfNegative val="0"/>
          <c:cat>
            <c:strRef>
              <c:f>'All electricity'!$A$3:$A$8</c:f>
              <c:strCache>
                <c:ptCount val="5"/>
                <c:pt idx="0">
                  <c:v>Hydroelectric generation</c:v>
                </c:pt>
                <c:pt idx="1">
                  <c:v>Wind generation</c:v>
                </c:pt>
                <c:pt idx="2">
                  <c:v>Thermal generation (TVPS)</c:v>
                </c:pt>
                <c:pt idx="3">
                  <c:v>Basslink imports</c:v>
                </c:pt>
                <c:pt idx="4">
                  <c:v>Basslink exports</c:v>
                </c:pt>
              </c:strCache>
              <c:extLst/>
            </c:strRef>
          </c:cat>
          <c:val>
            <c:numRef>
              <c:f>'All electricity'!$H$3:$H$8</c:f>
              <c:numCache>
                <c:formatCode>General</c:formatCode>
                <c:ptCount val="5"/>
                <c:pt idx="0" formatCode="_-* #,##0_-;\-* #,##0_-;_-* &quot;-&quot;??_-;_-@_-">
                  <c:v>9697</c:v>
                </c:pt>
                <c:pt idx="1">
                  <c:v>1312</c:v>
                </c:pt>
                <c:pt idx="2" formatCode="_-* #,##0_-;\-* #,##0_-;_-* &quot;-&quot;??_-;_-@_-">
                  <c:v>87</c:v>
                </c:pt>
                <c:pt idx="3" formatCode="_-* #,##0_-;\-* #,##0_-;_-* &quot;-&quot;??_-;_-@_-">
                  <c:v>867</c:v>
                </c:pt>
                <c:pt idx="4" formatCode="_-* #,##0_-;\-* #,##0_-;_-* &quot;-&quot;??_-;_-@_-">
                  <c:v>-1376</c:v>
                </c:pt>
              </c:numCache>
              <c:extLst/>
            </c:numRef>
          </c:val>
          <c:extLst>
            <c:ext xmlns:c16="http://schemas.microsoft.com/office/drawing/2014/chart" uri="{C3380CC4-5D6E-409C-BE32-E72D297353CC}">
              <c16:uniqueId val="{00000002-AD0D-4FD4-A455-7BCA9D62AD46}"/>
            </c:ext>
          </c:extLst>
        </c:ser>
        <c:dLbls>
          <c:showLegendKey val="0"/>
          <c:showVal val="0"/>
          <c:showCatName val="0"/>
          <c:showSerName val="0"/>
          <c:showPercent val="0"/>
          <c:showBubbleSize val="0"/>
        </c:dLbls>
        <c:gapWidth val="150"/>
        <c:axId val="761783136"/>
        <c:axId val="765199904"/>
      </c:barChart>
      <c:catAx>
        <c:axId val="761783136"/>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0" i="0" u="none" strike="noStrike" kern="1200" baseline="0">
                <a:solidFill>
                  <a:sysClr val="windowText" lastClr="000000"/>
                </a:solidFill>
                <a:latin typeface="+mn-lt"/>
                <a:ea typeface="+mn-ea"/>
                <a:cs typeface="+mn-cs"/>
              </a:defRPr>
            </a:pPr>
            <a:endParaRPr lang="en-US"/>
          </a:p>
        </c:txPr>
        <c:crossAx val="765199904"/>
        <c:crosses val="autoZero"/>
        <c:auto val="1"/>
        <c:lblAlgn val="ctr"/>
        <c:lblOffset val="100"/>
        <c:noMultiLvlLbl val="0"/>
      </c:catAx>
      <c:valAx>
        <c:axId val="765199904"/>
        <c:scaling>
          <c:orientation val="minMax"/>
          <c:max val="10000"/>
          <c:min val="-2000"/>
        </c:scaling>
        <c:delete val="0"/>
        <c:axPos val="l"/>
        <c:majorGridlines>
          <c:spPr>
            <a:ln w="9525" cap="flat" cmpd="sng" algn="ctr">
              <a:no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1783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Demand</c:v>
                </c:pt>
              </c:strCache>
            </c:strRef>
          </c:tx>
          <c:spPr>
            <a:ln w="28575" cap="rnd">
              <a:solidFill>
                <a:schemeClr val="accent1"/>
              </a:solidFill>
              <a:round/>
            </a:ln>
            <a:effectLst/>
          </c:spPr>
          <c:marker>
            <c:symbol val="none"/>
          </c:marker>
          <c:cat>
            <c:numRef>
              <c:f>Sheet1!$A$2:$A$1008</c:f>
              <c:numCache>
                <c:formatCode>m/d/yyyy</c:formatCode>
                <c:ptCount val="1007"/>
                <c:pt idx="0">
                  <c:v>43372</c:v>
                </c:pt>
                <c:pt idx="1">
                  <c:v>43373</c:v>
                </c:pt>
                <c:pt idx="2">
                  <c:v>43374</c:v>
                </c:pt>
                <c:pt idx="3">
                  <c:v>43375</c:v>
                </c:pt>
                <c:pt idx="4">
                  <c:v>43376</c:v>
                </c:pt>
                <c:pt idx="5">
                  <c:v>43377</c:v>
                </c:pt>
                <c:pt idx="6">
                  <c:v>43378</c:v>
                </c:pt>
                <c:pt idx="7">
                  <c:v>43379</c:v>
                </c:pt>
                <c:pt idx="8">
                  <c:v>43380</c:v>
                </c:pt>
                <c:pt idx="9">
                  <c:v>43381</c:v>
                </c:pt>
                <c:pt idx="10">
                  <c:v>43382</c:v>
                </c:pt>
                <c:pt idx="11">
                  <c:v>43383</c:v>
                </c:pt>
                <c:pt idx="12">
                  <c:v>43384</c:v>
                </c:pt>
                <c:pt idx="13">
                  <c:v>43385</c:v>
                </c:pt>
                <c:pt idx="14">
                  <c:v>43386</c:v>
                </c:pt>
                <c:pt idx="15">
                  <c:v>43387</c:v>
                </c:pt>
                <c:pt idx="16">
                  <c:v>43388</c:v>
                </c:pt>
                <c:pt idx="17">
                  <c:v>43389</c:v>
                </c:pt>
                <c:pt idx="18">
                  <c:v>43390</c:v>
                </c:pt>
                <c:pt idx="19">
                  <c:v>43391</c:v>
                </c:pt>
                <c:pt idx="20">
                  <c:v>43392</c:v>
                </c:pt>
                <c:pt idx="21">
                  <c:v>43393</c:v>
                </c:pt>
                <c:pt idx="22">
                  <c:v>43394</c:v>
                </c:pt>
                <c:pt idx="23">
                  <c:v>43395</c:v>
                </c:pt>
                <c:pt idx="24">
                  <c:v>43396</c:v>
                </c:pt>
                <c:pt idx="25">
                  <c:v>43397</c:v>
                </c:pt>
                <c:pt idx="26">
                  <c:v>43398</c:v>
                </c:pt>
                <c:pt idx="27">
                  <c:v>43399</c:v>
                </c:pt>
                <c:pt idx="28">
                  <c:v>43400</c:v>
                </c:pt>
                <c:pt idx="29">
                  <c:v>43401</c:v>
                </c:pt>
                <c:pt idx="30">
                  <c:v>43402</c:v>
                </c:pt>
                <c:pt idx="31">
                  <c:v>43403</c:v>
                </c:pt>
                <c:pt idx="32">
                  <c:v>43404</c:v>
                </c:pt>
                <c:pt idx="33">
                  <c:v>43405</c:v>
                </c:pt>
                <c:pt idx="34">
                  <c:v>43406</c:v>
                </c:pt>
                <c:pt idx="35">
                  <c:v>43407</c:v>
                </c:pt>
                <c:pt idx="36">
                  <c:v>43408</c:v>
                </c:pt>
                <c:pt idx="37">
                  <c:v>43409</c:v>
                </c:pt>
                <c:pt idx="38">
                  <c:v>43410</c:v>
                </c:pt>
                <c:pt idx="39">
                  <c:v>43411</c:v>
                </c:pt>
                <c:pt idx="40">
                  <c:v>43412</c:v>
                </c:pt>
                <c:pt idx="41">
                  <c:v>43413</c:v>
                </c:pt>
                <c:pt idx="42">
                  <c:v>43414</c:v>
                </c:pt>
                <c:pt idx="43">
                  <c:v>43415</c:v>
                </c:pt>
                <c:pt idx="44">
                  <c:v>43416</c:v>
                </c:pt>
                <c:pt idx="45">
                  <c:v>43417</c:v>
                </c:pt>
                <c:pt idx="46">
                  <c:v>43418</c:v>
                </c:pt>
                <c:pt idx="47">
                  <c:v>43419</c:v>
                </c:pt>
                <c:pt idx="48">
                  <c:v>43420</c:v>
                </c:pt>
                <c:pt idx="49">
                  <c:v>43421</c:v>
                </c:pt>
                <c:pt idx="50">
                  <c:v>43422</c:v>
                </c:pt>
                <c:pt idx="51">
                  <c:v>43423</c:v>
                </c:pt>
                <c:pt idx="52">
                  <c:v>43424</c:v>
                </c:pt>
                <c:pt idx="53">
                  <c:v>43425</c:v>
                </c:pt>
                <c:pt idx="54">
                  <c:v>43426</c:v>
                </c:pt>
                <c:pt idx="55">
                  <c:v>43427</c:v>
                </c:pt>
                <c:pt idx="56">
                  <c:v>43428</c:v>
                </c:pt>
                <c:pt idx="57">
                  <c:v>43429</c:v>
                </c:pt>
                <c:pt idx="58">
                  <c:v>43430</c:v>
                </c:pt>
                <c:pt idx="59">
                  <c:v>43431</c:v>
                </c:pt>
                <c:pt idx="60">
                  <c:v>43432</c:v>
                </c:pt>
                <c:pt idx="61">
                  <c:v>43433</c:v>
                </c:pt>
                <c:pt idx="62">
                  <c:v>43434</c:v>
                </c:pt>
                <c:pt idx="63">
                  <c:v>43435</c:v>
                </c:pt>
                <c:pt idx="64">
                  <c:v>43436</c:v>
                </c:pt>
                <c:pt idx="65">
                  <c:v>43437</c:v>
                </c:pt>
                <c:pt idx="66">
                  <c:v>43438</c:v>
                </c:pt>
                <c:pt idx="67">
                  <c:v>43439</c:v>
                </c:pt>
                <c:pt idx="68">
                  <c:v>43440</c:v>
                </c:pt>
                <c:pt idx="69">
                  <c:v>43441</c:v>
                </c:pt>
                <c:pt idx="70">
                  <c:v>43442</c:v>
                </c:pt>
                <c:pt idx="71">
                  <c:v>43443</c:v>
                </c:pt>
                <c:pt idx="72">
                  <c:v>43444</c:v>
                </c:pt>
                <c:pt idx="73">
                  <c:v>43445</c:v>
                </c:pt>
                <c:pt idx="74">
                  <c:v>43446</c:v>
                </c:pt>
                <c:pt idx="75">
                  <c:v>43447</c:v>
                </c:pt>
                <c:pt idx="76">
                  <c:v>43448</c:v>
                </c:pt>
                <c:pt idx="77">
                  <c:v>43449</c:v>
                </c:pt>
                <c:pt idx="78">
                  <c:v>43450</c:v>
                </c:pt>
                <c:pt idx="79">
                  <c:v>43451</c:v>
                </c:pt>
                <c:pt idx="80">
                  <c:v>43452</c:v>
                </c:pt>
                <c:pt idx="81">
                  <c:v>43453</c:v>
                </c:pt>
                <c:pt idx="82">
                  <c:v>43454</c:v>
                </c:pt>
                <c:pt idx="83">
                  <c:v>43455</c:v>
                </c:pt>
                <c:pt idx="84">
                  <c:v>43456</c:v>
                </c:pt>
                <c:pt idx="85">
                  <c:v>43457</c:v>
                </c:pt>
                <c:pt idx="86">
                  <c:v>43458</c:v>
                </c:pt>
                <c:pt idx="87">
                  <c:v>43459</c:v>
                </c:pt>
                <c:pt idx="88">
                  <c:v>43460</c:v>
                </c:pt>
                <c:pt idx="89">
                  <c:v>43461</c:v>
                </c:pt>
                <c:pt idx="90">
                  <c:v>43462</c:v>
                </c:pt>
                <c:pt idx="91">
                  <c:v>43463</c:v>
                </c:pt>
                <c:pt idx="92">
                  <c:v>43464</c:v>
                </c:pt>
                <c:pt idx="93">
                  <c:v>43465</c:v>
                </c:pt>
                <c:pt idx="94">
                  <c:v>43466</c:v>
                </c:pt>
                <c:pt idx="95">
                  <c:v>43467</c:v>
                </c:pt>
                <c:pt idx="96">
                  <c:v>43468</c:v>
                </c:pt>
                <c:pt idx="97">
                  <c:v>43469</c:v>
                </c:pt>
                <c:pt idx="98">
                  <c:v>43470</c:v>
                </c:pt>
                <c:pt idx="99">
                  <c:v>43471</c:v>
                </c:pt>
                <c:pt idx="100">
                  <c:v>43472</c:v>
                </c:pt>
                <c:pt idx="101">
                  <c:v>43473</c:v>
                </c:pt>
                <c:pt idx="102">
                  <c:v>43474</c:v>
                </c:pt>
                <c:pt idx="103">
                  <c:v>43475</c:v>
                </c:pt>
                <c:pt idx="104">
                  <c:v>43476</c:v>
                </c:pt>
                <c:pt idx="105">
                  <c:v>43477</c:v>
                </c:pt>
                <c:pt idx="106">
                  <c:v>43478</c:v>
                </c:pt>
                <c:pt idx="107">
                  <c:v>43479</c:v>
                </c:pt>
                <c:pt idx="108">
                  <c:v>43480</c:v>
                </c:pt>
                <c:pt idx="109">
                  <c:v>43481</c:v>
                </c:pt>
                <c:pt idx="110">
                  <c:v>43482</c:v>
                </c:pt>
                <c:pt idx="111">
                  <c:v>43483</c:v>
                </c:pt>
                <c:pt idx="112">
                  <c:v>43484</c:v>
                </c:pt>
                <c:pt idx="113">
                  <c:v>43485</c:v>
                </c:pt>
                <c:pt idx="114">
                  <c:v>43486</c:v>
                </c:pt>
                <c:pt idx="115">
                  <c:v>43487</c:v>
                </c:pt>
                <c:pt idx="116">
                  <c:v>43488</c:v>
                </c:pt>
                <c:pt idx="117">
                  <c:v>43489</c:v>
                </c:pt>
                <c:pt idx="118">
                  <c:v>43490</c:v>
                </c:pt>
                <c:pt idx="119">
                  <c:v>43491</c:v>
                </c:pt>
                <c:pt idx="120">
                  <c:v>43492</c:v>
                </c:pt>
                <c:pt idx="121">
                  <c:v>43493</c:v>
                </c:pt>
                <c:pt idx="122">
                  <c:v>43494</c:v>
                </c:pt>
                <c:pt idx="123">
                  <c:v>43495</c:v>
                </c:pt>
                <c:pt idx="124">
                  <c:v>43496</c:v>
                </c:pt>
                <c:pt idx="125">
                  <c:v>43497</c:v>
                </c:pt>
                <c:pt idx="126">
                  <c:v>43498</c:v>
                </c:pt>
                <c:pt idx="127">
                  <c:v>43499</c:v>
                </c:pt>
                <c:pt idx="128">
                  <c:v>43500</c:v>
                </c:pt>
                <c:pt idx="129">
                  <c:v>43501</c:v>
                </c:pt>
                <c:pt idx="130">
                  <c:v>43502</c:v>
                </c:pt>
                <c:pt idx="131">
                  <c:v>43503</c:v>
                </c:pt>
                <c:pt idx="132">
                  <c:v>43504</c:v>
                </c:pt>
                <c:pt idx="133">
                  <c:v>43505</c:v>
                </c:pt>
                <c:pt idx="134">
                  <c:v>43506</c:v>
                </c:pt>
                <c:pt idx="135">
                  <c:v>43507</c:v>
                </c:pt>
                <c:pt idx="136">
                  <c:v>43508</c:v>
                </c:pt>
                <c:pt idx="137">
                  <c:v>43509</c:v>
                </c:pt>
                <c:pt idx="138">
                  <c:v>43510</c:v>
                </c:pt>
                <c:pt idx="139">
                  <c:v>43511</c:v>
                </c:pt>
                <c:pt idx="140">
                  <c:v>43512</c:v>
                </c:pt>
                <c:pt idx="141">
                  <c:v>43513</c:v>
                </c:pt>
                <c:pt idx="142">
                  <c:v>43514</c:v>
                </c:pt>
                <c:pt idx="143">
                  <c:v>43515</c:v>
                </c:pt>
                <c:pt idx="144">
                  <c:v>43516</c:v>
                </c:pt>
                <c:pt idx="145">
                  <c:v>43517</c:v>
                </c:pt>
                <c:pt idx="146">
                  <c:v>43518</c:v>
                </c:pt>
                <c:pt idx="147">
                  <c:v>43519</c:v>
                </c:pt>
                <c:pt idx="148">
                  <c:v>43520</c:v>
                </c:pt>
                <c:pt idx="149">
                  <c:v>43521</c:v>
                </c:pt>
                <c:pt idx="150">
                  <c:v>43522</c:v>
                </c:pt>
                <c:pt idx="151">
                  <c:v>43523</c:v>
                </c:pt>
                <c:pt idx="152">
                  <c:v>43524</c:v>
                </c:pt>
                <c:pt idx="153">
                  <c:v>43525</c:v>
                </c:pt>
                <c:pt idx="154">
                  <c:v>43526</c:v>
                </c:pt>
                <c:pt idx="155">
                  <c:v>43527</c:v>
                </c:pt>
                <c:pt idx="156">
                  <c:v>43528</c:v>
                </c:pt>
                <c:pt idx="157">
                  <c:v>43529</c:v>
                </c:pt>
                <c:pt idx="158">
                  <c:v>43530</c:v>
                </c:pt>
                <c:pt idx="159">
                  <c:v>43531</c:v>
                </c:pt>
                <c:pt idx="160">
                  <c:v>43532</c:v>
                </c:pt>
                <c:pt idx="161">
                  <c:v>43533</c:v>
                </c:pt>
                <c:pt idx="162">
                  <c:v>43534</c:v>
                </c:pt>
                <c:pt idx="163">
                  <c:v>43535</c:v>
                </c:pt>
                <c:pt idx="164">
                  <c:v>43536</c:v>
                </c:pt>
                <c:pt idx="165">
                  <c:v>43537</c:v>
                </c:pt>
                <c:pt idx="166">
                  <c:v>43538</c:v>
                </c:pt>
                <c:pt idx="167">
                  <c:v>43539</c:v>
                </c:pt>
                <c:pt idx="168">
                  <c:v>43540</c:v>
                </c:pt>
                <c:pt idx="169">
                  <c:v>43541</c:v>
                </c:pt>
                <c:pt idx="170">
                  <c:v>43542</c:v>
                </c:pt>
                <c:pt idx="171">
                  <c:v>43543</c:v>
                </c:pt>
                <c:pt idx="172">
                  <c:v>43544</c:v>
                </c:pt>
                <c:pt idx="173">
                  <c:v>43545</c:v>
                </c:pt>
                <c:pt idx="174">
                  <c:v>43546</c:v>
                </c:pt>
                <c:pt idx="175">
                  <c:v>43547</c:v>
                </c:pt>
                <c:pt idx="176">
                  <c:v>43548</c:v>
                </c:pt>
                <c:pt idx="177">
                  <c:v>43549</c:v>
                </c:pt>
                <c:pt idx="178">
                  <c:v>43550</c:v>
                </c:pt>
                <c:pt idx="179">
                  <c:v>43551</c:v>
                </c:pt>
                <c:pt idx="180">
                  <c:v>43552</c:v>
                </c:pt>
                <c:pt idx="181">
                  <c:v>43553</c:v>
                </c:pt>
                <c:pt idx="182">
                  <c:v>43554</c:v>
                </c:pt>
                <c:pt idx="183">
                  <c:v>43555</c:v>
                </c:pt>
                <c:pt idx="184">
                  <c:v>43556</c:v>
                </c:pt>
                <c:pt idx="185">
                  <c:v>43557</c:v>
                </c:pt>
                <c:pt idx="186">
                  <c:v>43558</c:v>
                </c:pt>
                <c:pt idx="187">
                  <c:v>43559</c:v>
                </c:pt>
                <c:pt idx="188">
                  <c:v>43560</c:v>
                </c:pt>
                <c:pt idx="189">
                  <c:v>43561</c:v>
                </c:pt>
                <c:pt idx="190">
                  <c:v>43562</c:v>
                </c:pt>
                <c:pt idx="191">
                  <c:v>43563</c:v>
                </c:pt>
                <c:pt idx="192">
                  <c:v>43564</c:v>
                </c:pt>
                <c:pt idx="193">
                  <c:v>43565</c:v>
                </c:pt>
                <c:pt idx="194">
                  <c:v>43566</c:v>
                </c:pt>
                <c:pt idx="195">
                  <c:v>43567</c:v>
                </c:pt>
                <c:pt idx="196">
                  <c:v>43568</c:v>
                </c:pt>
                <c:pt idx="197">
                  <c:v>43569</c:v>
                </c:pt>
                <c:pt idx="198">
                  <c:v>43570</c:v>
                </c:pt>
                <c:pt idx="199">
                  <c:v>43571</c:v>
                </c:pt>
                <c:pt idx="200">
                  <c:v>43572</c:v>
                </c:pt>
                <c:pt idx="201">
                  <c:v>43573</c:v>
                </c:pt>
                <c:pt idx="202">
                  <c:v>43574</c:v>
                </c:pt>
                <c:pt idx="203">
                  <c:v>43575</c:v>
                </c:pt>
                <c:pt idx="204">
                  <c:v>43576</c:v>
                </c:pt>
                <c:pt idx="205">
                  <c:v>43577</c:v>
                </c:pt>
                <c:pt idx="206">
                  <c:v>43578</c:v>
                </c:pt>
                <c:pt idx="207">
                  <c:v>43579</c:v>
                </c:pt>
                <c:pt idx="208">
                  <c:v>43580</c:v>
                </c:pt>
                <c:pt idx="209">
                  <c:v>43581</c:v>
                </c:pt>
                <c:pt idx="210">
                  <c:v>43582</c:v>
                </c:pt>
                <c:pt idx="211">
                  <c:v>43583</c:v>
                </c:pt>
                <c:pt idx="212">
                  <c:v>43584</c:v>
                </c:pt>
                <c:pt idx="213">
                  <c:v>43585</c:v>
                </c:pt>
                <c:pt idx="214">
                  <c:v>43586</c:v>
                </c:pt>
                <c:pt idx="215">
                  <c:v>43587</c:v>
                </c:pt>
                <c:pt idx="216">
                  <c:v>43588</c:v>
                </c:pt>
                <c:pt idx="217">
                  <c:v>43589</c:v>
                </c:pt>
                <c:pt idx="218">
                  <c:v>43590</c:v>
                </c:pt>
                <c:pt idx="219">
                  <c:v>43591</c:v>
                </c:pt>
                <c:pt idx="220">
                  <c:v>43592</c:v>
                </c:pt>
                <c:pt idx="221">
                  <c:v>43593</c:v>
                </c:pt>
                <c:pt idx="222">
                  <c:v>43594</c:v>
                </c:pt>
                <c:pt idx="223">
                  <c:v>43595</c:v>
                </c:pt>
                <c:pt idx="224">
                  <c:v>43596</c:v>
                </c:pt>
                <c:pt idx="225">
                  <c:v>43597</c:v>
                </c:pt>
                <c:pt idx="226">
                  <c:v>43598</c:v>
                </c:pt>
                <c:pt idx="227">
                  <c:v>43599</c:v>
                </c:pt>
                <c:pt idx="228">
                  <c:v>43600</c:v>
                </c:pt>
                <c:pt idx="229">
                  <c:v>43601</c:v>
                </c:pt>
                <c:pt idx="230">
                  <c:v>43602</c:v>
                </c:pt>
                <c:pt idx="231">
                  <c:v>43603</c:v>
                </c:pt>
                <c:pt idx="232">
                  <c:v>43604</c:v>
                </c:pt>
                <c:pt idx="233">
                  <c:v>43605</c:v>
                </c:pt>
                <c:pt idx="234">
                  <c:v>43606</c:v>
                </c:pt>
                <c:pt idx="235">
                  <c:v>43607</c:v>
                </c:pt>
                <c:pt idx="236">
                  <c:v>43608</c:v>
                </c:pt>
                <c:pt idx="237">
                  <c:v>43609</c:v>
                </c:pt>
                <c:pt idx="238">
                  <c:v>43610</c:v>
                </c:pt>
                <c:pt idx="239">
                  <c:v>43611</c:v>
                </c:pt>
                <c:pt idx="240">
                  <c:v>43612</c:v>
                </c:pt>
                <c:pt idx="241">
                  <c:v>43613</c:v>
                </c:pt>
                <c:pt idx="242">
                  <c:v>43614</c:v>
                </c:pt>
                <c:pt idx="243">
                  <c:v>43615</c:v>
                </c:pt>
                <c:pt idx="244">
                  <c:v>43616</c:v>
                </c:pt>
                <c:pt idx="245">
                  <c:v>43617</c:v>
                </c:pt>
                <c:pt idx="246">
                  <c:v>43618</c:v>
                </c:pt>
                <c:pt idx="247">
                  <c:v>43619</c:v>
                </c:pt>
                <c:pt idx="248">
                  <c:v>43620</c:v>
                </c:pt>
                <c:pt idx="249">
                  <c:v>43621</c:v>
                </c:pt>
                <c:pt idx="250">
                  <c:v>43622</c:v>
                </c:pt>
                <c:pt idx="251">
                  <c:v>43623</c:v>
                </c:pt>
                <c:pt idx="252">
                  <c:v>43624</c:v>
                </c:pt>
                <c:pt idx="253">
                  <c:v>43625</c:v>
                </c:pt>
                <c:pt idx="254">
                  <c:v>43626</c:v>
                </c:pt>
                <c:pt idx="255">
                  <c:v>43627</c:v>
                </c:pt>
                <c:pt idx="256">
                  <c:v>43628</c:v>
                </c:pt>
                <c:pt idx="257">
                  <c:v>43629</c:v>
                </c:pt>
                <c:pt idx="258">
                  <c:v>43630</c:v>
                </c:pt>
                <c:pt idx="259">
                  <c:v>43631</c:v>
                </c:pt>
                <c:pt idx="260">
                  <c:v>43632</c:v>
                </c:pt>
                <c:pt idx="261">
                  <c:v>43633</c:v>
                </c:pt>
                <c:pt idx="262">
                  <c:v>43634</c:v>
                </c:pt>
                <c:pt idx="263">
                  <c:v>43635</c:v>
                </c:pt>
                <c:pt idx="264">
                  <c:v>43636</c:v>
                </c:pt>
                <c:pt idx="265">
                  <c:v>43637</c:v>
                </c:pt>
                <c:pt idx="266">
                  <c:v>43638</c:v>
                </c:pt>
                <c:pt idx="267">
                  <c:v>43639</c:v>
                </c:pt>
                <c:pt idx="268">
                  <c:v>43640</c:v>
                </c:pt>
                <c:pt idx="269">
                  <c:v>43641</c:v>
                </c:pt>
                <c:pt idx="270">
                  <c:v>43642</c:v>
                </c:pt>
                <c:pt idx="271">
                  <c:v>43643</c:v>
                </c:pt>
                <c:pt idx="272">
                  <c:v>43644</c:v>
                </c:pt>
                <c:pt idx="273">
                  <c:v>43645</c:v>
                </c:pt>
                <c:pt idx="274">
                  <c:v>43646</c:v>
                </c:pt>
                <c:pt idx="275">
                  <c:v>43647</c:v>
                </c:pt>
                <c:pt idx="276">
                  <c:v>43648</c:v>
                </c:pt>
                <c:pt idx="277">
                  <c:v>43649</c:v>
                </c:pt>
                <c:pt idx="278">
                  <c:v>43650</c:v>
                </c:pt>
                <c:pt idx="279">
                  <c:v>43651</c:v>
                </c:pt>
                <c:pt idx="280">
                  <c:v>43652</c:v>
                </c:pt>
                <c:pt idx="281">
                  <c:v>43653</c:v>
                </c:pt>
                <c:pt idx="282">
                  <c:v>43654</c:v>
                </c:pt>
                <c:pt idx="283">
                  <c:v>43655</c:v>
                </c:pt>
                <c:pt idx="284">
                  <c:v>43656</c:v>
                </c:pt>
                <c:pt idx="285">
                  <c:v>43657</c:v>
                </c:pt>
                <c:pt idx="286">
                  <c:v>43658</c:v>
                </c:pt>
                <c:pt idx="287">
                  <c:v>43659</c:v>
                </c:pt>
                <c:pt idx="288">
                  <c:v>43660</c:v>
                </c:pt>
                <c:pt idx="289">
                  <c:v>43661</c:v>
                </c:pt>
                <c:pt idx="290">
                  <c:v>43662</c:v>
                </c:pt>
                <c:pt idx="291">
                  <c:v>43663</c:v>
                </c:pt>
                <c:pt idx="292">
                  <c:v>43664</c:v>
                </c:pt>
                <c:pt idx="293">
                  <c:v>43665</c:v>
                </c:pt>
                <c:pt idx="294">
                  <c:v>43666</c:v>
                </c:pt>
                <c:pt idx="295">
                  <c:v>43667</c:v>
                </c:pt>
                <c:pt idx="296">
                  <c:v>43668</c:v>
                </c:pt>
                <c:pt idx="297">
                  <c:v>43669</c:v>
                </c:pt>
                <c:pt idx="298">
                  <c:v>43670</c:v>
                </c:pt>
                <c:pt idx="299">
                  <c:v>43671</c:v>
                </c:pt>
                <c:pt idx="300">
                  <c:v>43672</c:v>
                </c:pt>
                <c:pt idx="301">
                  <c:v>43673</c:v>
                </c:pt>
                <c:pt idx="302">
                  <c:v>43674</c:v>
                </c:pt>
                <c:pt idx="303">
                  <c:v>43675</c:v>
                </c:pt>
                <c:pt idx="304">
                  <c:v>43676</c:v>
                </c:pt>
                <c:pt idx="305">
                  <c:v>43677</c:v>
                </c:pt>
                <c:pt idx="306">
                  <c:v>43678</c:v>
                </c:pt>
                <c:pt idx="307">
                  <c:v>43679</c:v>
                </c:pt>
                <c:pt idx="308">
                  <c:v>43680</c:v>
                </c:pt>
                <c:pt idx="309">
                  <c:v>43681</c:v>
                </c:pt>
                <c:pt idx="310">
                  <c:v>43682</c:v>
                </c:pt>
                <c:pt idx="311">
                  <c:v>43683</c:v>
                </c:pt>
                <c:pt idx="312">
                  <c:v>43684</c:v>
                </c:pt>
                <c:pt idx="313">
                  <c:v>43685</c:v>
                </c:pt>
                <c:pt idx="314">
                  <c:v>43686</c:v>
                </c:pt>
                <c:pt idx="315">
                  <c:v>43687</c:v>
                </c:pt>
                <c:pt idx="316">
                  <c:v>43688</c:v>
                </c:pt>
                <c:pt idx="317">
                  <c:v>43689</c:v>
                </c:pt>
                <c:pt idx="318">
                  <c:v>43690</c:v>
                </c:pt>
                <c:pt idx="319">
                  <c:v>43691</c:v>
                </c:pt>
                <c:pt idx="320">
                  <c:v>43692</c:v>
                </c:pt>
                <c:pt idx="321">
                  <c:v>43693</c:v>
                </c:pt>
                <c:pt idx="322">
                  <c:v>43694</c:v>
                </c:pt>
                <c:pt idx="323">
                  <c:v>43695</c:v>
                </c:pt>
                <c:pt idx="324">
                  <c:v>43696</c:v>
                </c:pt>
                <c:pt idx="325">
                  <c:v>43697</c:v>
                </c:pt>
                <c:pt idx="326">
                  <c:v>43698</c:v>
                </c:pt>
                <c:pt idx="327">
                  <c:v>43699</c:v>
                </c:pt>
                <c:pt idx="328">
                  <c:v>43700</c:v>
                </c:pt>
                <c:pt idx="329">
                  <c:v>43701</c:v>
                </c:pt>
                <c:pt idx="330">
                  <c:v>43702</c:v>
                </c:pt>
                <c:pt idx="331">
                  <c:v>43703</c:v>
                </c:pt>
                <c:pt idx="332">
                  <c:v>43704</c:v>
                </c:pt>
                <c:pt idx="333">
                  <c:v>43705</c:v>
                </c:pt>
                <c:pt idx="334">
                  <c:v>43706</c:v>
                </c:pt>
                <c:pt idx="335">
                  <c:v>43707</c:v>
                </c:pt>
                <c:pt idx="336">
                  <c:v>43708</c:v>
                </c:pt>
                <c:pt idx="337">
                  <c:v>43709</c:v>
                </c:pt>
                <c:pt idx="338">
                  <c:v>43710</c:v>
                </c:pt>
                <c:pt idx="339">
                  <c:v>43711</c:v>
                </c:pt>
                <c:pt idx="340">
                  <c:v>43712</c:v>
                </c:pt>
                <c:pt idx="341">
                  <c:v>43713</c:v>
                </c:pt>
                <c:pt idx="342">
                  <c:v>43714</c:v>
                </c:pt>
                <c:pt idx="343">
                  <c:v>43715</c:v>
                </c:pt>
                <c:pt idx="344">
                  <c:v>43716</c:v>
                </c:pt>
                <c:pt idx="345">
                  <c:v>43717</c:v>
                </c:pt>
                <c:pt idx="346">
                  <c:v>43718</c:v>
                </c:pt>
                <c:pt idx="347">
                  <c:v>43719</c:v>
                </c:pt>
                <c:pt idx="348">
                  <c:v>43720</c:v>
                </c:pt>
                <c:pt idx="349">
                  <c:v>43721</c:v>
                </c:pt>
                <c:pt idx="350">
                  <c:v>43722</c:v>
                </c:pt>
                <c:pt idx="351">
                  <c:v>43723</c:v>
                </c:pt>
                <c:pt idx="352">
                  <c:v>43724</c:v>
                </c:pt>
                <c:pt idx="353">
                  <c:v>43725</c:v>
                </c:pt>
                <c:pt idx="354">
                  <c:v>43726</c:v>
                </c:pt>
                <c:pt idx="355">
                  <c:v>43727</c:v>
                </c:pt>
                <c:pt idx="356">
                  <c:v>43728</c:v>
                </c:pt>
                <c:pt idx="357">
                  <c:v>43729</c:v>
                </c:pt>
                <c:pt idx="358">
                  <c:v>43730</c:v>
                </c:pt>
                <c:pt idx="359">
                  <c:v>43731</c:v>
                </c:pt>
                <c:pt idx="360">
                  <c:v>43732</c:v>
                </c:pt>
                <c:pt idx="361">
                  <c:v>43733</c:v>
                </c:pt>
                <c:pt idx="362">
                  <c:v>43734</c:v>
                </c:pt>
                <c:pt idx="363">
                  <c:v>43735</c:v>
                </c:pt>
                <c:pt idx="364">
                  <c:v>43736</c:v>
                </c:pt>
                <c:pt idx="365">
                  <c:v>43737</c:v>
                </c:pt>
                <c:pt idx="366">
                  <c:v>43738</c:v>
                </c:pt>
                <c:pt idx="367">
                  <c:v>43739</c:v>
                </c:pt>
                <c:pt idx="368">
                  <c:v>43740</c:v>
                </c:pt>
                <c:pt idx="369">
                  <c:v>43741</c:v>
                </c:pt>
                <c:pt idx="370">
                  <c:v>43742</c:v>
                </c:pt>
                <c:pt idx="371">
                  <c:v>43743</c:v>
                </c:pt>
                <c:pt idx="372">
                  <c:v>43744</c:v>
                </c:pt>
                <c:pt idx="373">
                  <c:v>43745</c:v>
                </c:pt>
                <c:pt idx="374">
                  <c:v>43746</c:v>
                </c:pt>
                <c:pt idx="375">
                  <c:v>43747</c:v>
                </c:pt>
                <c:pt idx="376">
                  <c:v>43748</c:v>
                </c:pt>
                <c:pt idx="377">
                  <c:v>43749</c:v>
                </c:pt>
                <c:pt idx="378">
                  <c:v>43750</c:v>
                </c:pt>
                <c:pt idx="379">
                  <c:v>43751</c:v>
                </c:pt>
                <c:pt idx="380">
                  <c:v>43752</c:v>
                </c:pt>
                <c:pt idx="381">
                  <c:v>43753</c:v>
                </c:pt>
                <c:pt idx="382">
                  <c:v>43754</c:v>
                </c:pt>
                <c:pt idx="383">
                  <c:v>43755</c:v>
                </c:pt>
                <c:pt idx="384">
                  <c:v>43756</c:v>
                </c:pt>
                <c:pt idx="385">
                  <c:v>43757</c:v>
                </c:pt>
                <c:pt idx="386">
                  <c:v>43758</c:v>
                </c:pt>
                <c:pt idx="387">
                  <c:v>43759</c:v>
                </c:pt>
                <c:pt idx="388">
                  <c:v>43760</c:v>
                </c:pt>
                <c:pt idx="389">
                  <c:v>43761</c:v>
                </c:pt>
                <c:pt idx="390">
                  <c:v>43762</c:v>
                </c:pt>
                <c:pt idx="391">
                  <c:v>43763</c:v>
                </c:pt>
                <c:pt idx="392">
                  <c:v>43764</c:v>
                </c:pt>
                <c:pt idx="393">
                  <c:v>43765</c:v>
                </c:pt>
                <c:pt idx="394">
                  <c:v>43766</c:v>
                </c:pt>
                <c:pt idx="395">
                  <c:v>43767</c:v>
                </c:pt>
                <c:pt idx="396">
                  <c:v>43768</c:v>
                </c:pt>
                <c:pt idx="397">
                  <c:v>43769</c:v>
                </c:pt>
                <c:pt idx="398">
                  <c:v>43770</c:v>
                </c:pt>
                <c:pt idx="399">
                  <c:v>43771</c:v>
                </c:pt>
                <c:pt idx="400">
                  <c:v>43772</c:v>
                </c:pt>
                <c:pt idx="401">
                  <c:v>43773</c:v>
                </c:pt>
                <c:pt idx="402">
                  <c:v>43774</c:v>
                </c:pt>
                <c:pt idx="403">
                  <c:v>43775</c:v>
                </c:pt>
                <c:pt idx="404">
                  <c:v>43776</c:v>
                </c:pt>
                <c:pt idx="405">
                  <c:v>43777</c:v>
                </c:pt>
                <c:pt idx="406">
                  <c:v>43778</c:v>
                </c:pt>
                <c:pt idx="407">
                  <c:v>43779</c:v>
                </c:pt>
                <c:pt idx="408">
                  <c:v>43780</c:v>
                </c:pt>
                <c:pt idx="409">
                  <c:v>43781</c:v>
                </c:pt>
                <c:pt idx="410">
                  <c:v>43782</c:v>
                </c:pt>
                <c:pt idx="411">
                  <c:v>43783</c:v>
                </c:pt>
                <c:pt idx="412">
                  <c:v>43784</c:v>
                </c:pt>
                <c:pt idx="413">
                  <c:v>43785</c:v>
                </c:pt>
                <c:pt idx="414">
                  <c:v>43786</c:v>
                </c:pt>
                <c:pt idx="415">
                  <c:v>43787</c:v>
                </c:pt>
                <c:pt idx="416">
                  <c:v>43788</c:v>
                </c:pt>
                <c:pt idx="417">
                  <c:v>43789</c:v>
                </c:pt>
                <c:pt idx="418">
                  <c:v>43790</c:v>
                </c:pt>
                <c:pt idx="419">
                  <c:v>43791</c:v>
                </c:pt>
                <c:pt idx="420">
                  <c:v>43792</c:v>
                </c:pt>
                <c:pt idx="421">
                  <c:v>43793</c:v>
                </c:pt>
                <c:pt idx="422">
                  <c:v>43794</c:v>
                </c:pt>
                <c:pt idx="423">
                  <c:v>43795</c:v>
                </c:pt>
                <c:pt idx="424">
                  <c:v>43796</c:v>
                </c:pt>
                <c:pt idx="425">
                  <c:v>43797</c:v>
                </c:pt>
                <c:pt idx="426">
                  <c:v>43798</c:v>
                </c:pt>
                <c:pt idx="427">
                  <c:v>43799</c:v>
                </c:pt>
                <c:pt idx="428">
                  <c:v>43800</c:v>
                </c:pt>
                <c:pt idx="429">
                  <c:v>43801</c:v>
                </c:pt>
                <c:pt idx="430">
                  <c:v>43802</c:v>
                </c:pt>
                <c:pt idx="431">
                  <c:v>43803</c:v>
                </c:pt>
                <c:pt idx="432">
                  <c:v>43804</c:v>
                </c:pt>
                <c:pt idx="433">
                  <c:v>43805</c:v>
                </c:pt>
                <c:pt idx="434">
                  <c:v>43806</c:v>
                </c:pt>
                <c:pt idx="435">
                  <c:v>43807</c:v>
                </c:pt>
                <c:pt idx="436">
                  <c:v>43808</c:v>
                </c:pt>
                <c:pt idx="437">
                  <c:v>43809</c:v>
                </c:pt>
                <c:pt idx="438">
                  <c:v>43810</c:v>
                </c:pt>
                <c:pt idx="439">
                  <c:v>43811</c:v>
                </c:pt>
                <c:pt idx="440">
                  <c:v>43812</c:v>
                </c:pt>
                <c:pt idx="441">
                  <c:v>43813</c:v>
                </c:pt>
                <c:pt idx="442">
                  <c:v>43814</c:v>
                </c:pt>
                <c:pt idx="443">
                  <c:v>43815</c:v>
                </c:pt>
                <c:pt idx="444">
                  <c:v>43816</c:v>
                </c:pt>
                <c:pt idx="445">
                  <c:v>43817</c:v>
                </c:pt>
                <c:pt idx="446">
                  <c:v>43818</c:v>
                </c:pt>
                <c:pt idx="447">
                  <c:v>43819</c:v>
                </c:pt>
                <c:pt idx="448">
                  <c:v>43820</c:v>
                </c:pt>
                <c:pt idx="449">
                  <c:v>43821</c:v>
                </c:pt>
                <c:pt idx="450">
                  <c:v>43822</c:v>
                </c:pt>
                <c:pt idx="451">
                  <c:v>43823</c:v>
                </c:pt>
                <c:pt idx="452">
                  <c:v>43824</c:v>
                </c:pt>
                <c:pt idx="453">
                  <c:v>43825</c:v>
                </c:pt>
                <c:pt idx="454">
                  <c:v>43826</c:v>
                </c:pt>
                <c:pt idx="455">
                  <c:v>43827</c:v>
                </c:pt>
                <c:pt idx="456">
                  <c:v>43828</c:v>
                </c:pt>
                <c:pt idx="457">
                  <c:v>43829</c:v>
                </c:pt>
                <c:pt idx="458">
                  <c:v>43830</c:v>
                </c:pt>
                <c:pt idx="459">
                  <c:v>43831</c:v>
                </c:pt>
                <c:pt idx="460">
                  <c:v>43832</c:v>
                </c:pt>
                <c:pt idx="461">
                  <c:v>43833</c:v>
                </c:pt>
                <c:pt idx="462">
                  <c:v>43834</c:v>
                </c:pt>
                <c:pt idx="463">
                  <c:v>43835</c:v>
                </c:pt>
                <c:pt idx="464">
                  <c:v>43836</c:v>
                </c:pt>
                <c:pt idx="465">
                  <c:v>43837</c:v>
                </c:pt>
                <c:pt idx="466">
                  <c:v>43838</c:v>
                </c:pt>
                <c:pt idx="467">
                  <c:v>43839</c:v>
                </c:pt>
                <c:pt idx="468">
                  <c:v>43840</c:v>
                </c:pt>
                <c:pt idx="469">
                  <c:v>43841</c:v>
                </c:pt>
                <c:pt idx="470">
                  <c:v>43842</c:v>
                </c:pt>
                <c:pt idx="471">
                  <c:v>43843</c:v>
                </c:pt>
                <c:pt idx="472">
                  <c:v>43844</c:v>
                </c:pt>
                <c:pt idx="473">
                  <c:v>43845</c:v>
                </c:pt>
                <c:pt idx="474">
                  <c:v>43846</c:v>
                </c:pt>
                <c:pt idx="475">
                  <c:v>43847</c:v>
                </c:pt>
                <c:pt idx="476">
                  <c:v>43848</c:v>
                </c:pt>
                <c:pt idx="477">
                  <c:v>43849</c:v>
                </c:pt>
                <c:pt idx="478">
                  <c:v>43850</c:v>
                </c:pt>
                <c:pt idx="479">
                  <c:v>43851</c:v>
                </c:pt>
                <c:pt idx="480">
                  <c:v>43852</c:v>
                </c:pt>
                <c:pt idx="481">
                  <c:v>43853</c:v>
                </c:pt>
                <c:pt idx="482">
                  <c:v>43854</c:v>
                </c:pt>
                <c:pt idx="483">
                  <c:v>43855</c:v>
                </c:pt>
                <c:pt idx="484">
                  <c:v>43856</c:v>
                </c:pt>
                <c:pt idx="485">
                  <c:v>43857</c:v>
                </c:pt>
                <c:pt idx="486">
                  <c:v>43858</c:v>
                </c:pt>
                <c:pt idx="487">
                  <c:v>43859</c:v>
                </c:pt>
                <c:pt idx="488">
                  <c:v>43860</c:v>
                </c:pt>
                <c:pt idx="489">
                  <c:v>43861</c:v>
                </c:pt>
                <c:pt idx="490">
                  <c:v>43862</c:v>
                </c:pt>
                <c:pt idx="491">
                  <c:v>43863</c:v>
                </c:pt>
                <c:pt idx="492">
                  <c:v>43864</c:v>
                </c:pt>
                <c:pt idx="493">
                  <c:v>43865</c:v>
                </c:pt>
                <c:pt idx="494">
                  <c:v>43866</c:v>
                </c:pt>
                <c:pt idx="495">
                  <c:v>43867</c:v>
                </c:pt>
                <c:pt idx="496">
                  <c:v>43868</c:v>
                </c:pt>
                <c:pt idx="497">
                  <c:v>43869</c:v>
                </c:pt>
                <c:pt idx="498">
                  <c:v>43870</c:v>
                </c:pt>
                <c:pt idx="499">
                  <c:v>43871</c:v>
                </c:pt>
                <c:pt idx="500">
                  <c:v>43872</c:v>
                </c:pt>
                <c:pt idx="501">
                  <c:v>43873</c:v>
                </c:pt>
                <c:pt idx="502">
                  <c:v>43874</c:v>
                </c:pt>
                <c:pt idx="503">
                  <c:v>43875</c:v>
                </c:pt>
                <c:pt idx="504">
                  <c:v>43876</c:v>
                </c:pt>
                <c:pt idx="505">
                  <c:v>43877</c:v>
                </c:pt>
                <c:pt idx="506">
                  <c:v>43878</c:v>
                </c:pt>
                <c:pt idx="507">
                  <c:v>43879</c:v>
                </c:pt>
                <c:pt idx="508">
                  <c:v>43880</c:v>
                </c:pt>
                <c:pt idx="509">
                  <c:v>43881</c:v>
                </c:pt>
                <c:pt idx="510">
                  <c:v>43882</c:v>
                </c:pt>
                <c:pt idx="511">
                  <c:v>43883</c:v>
                </c:pt>
                <c:pt idx="512">
                  <c:v>43884</c:v>
                </c:pt>
                <c:pt idx="513">
                  <c:v>43885</c:v>
                </c:pt>
                <c:pt idx="514">
                  <c:v>43886</c:v>
                </c:pt>
                <c:pt idx="515">
                  <c:v>43887</c:v>
                </c:pt>
                <c:pt idx="516">
                  <c:v>43888</c:v>
                </c:pt>
                <c:pt idx="517">
                  <c:v>43889</c:v>
                </c:pt>
                <c:pt idx="518">
                  <c:v>43890</c:v>
                </c:pt>
                <c:pt idx="519">
                  <c:v>43891</c:v>
                </c:pt>
                <c:pt idx="520">
                  <c:v>43892</c:v>
                </c:pt>
                <c:pt idx="521">
                  <c:v>43893</c:v>
                </c:pt>
                <c:pt idx="522">
                  <c:v>43894</c:v>
                </c:pt>
                <c:pt idx="523">
                  <c:v>43895</c:v>
                </c:pt>
                <c:pt idx="524">
                  <c:v>43896</c:v>
                </c:pt>
                <c:pt idx="525">
                  <c:v>43897</c:v>
                </c:pt>
                <c:pt idx="526">
                  <c:v>43898</c:v>
                </c:pt>
                <c:pt idx="527">
                  <c:v>43899</c:v>
                </c:pt>
                <c:pt idx="528">
                  <c:v>43900</c:v>
                </c:pt>
                <c:pt idx="529">
                  <c:v>43901</c:v>
                </c:pt>
                <c:pt idx="530">
                  <c:v>43902</c:v>
                </c:pt>
                <c:pt idx="531">
                  <c:v>43903</c:v>
                </c:pt>
                <c:pt idx="532">
                  <c:v>43904</c:v>
                </c:pt>
                <c:pt idx="533">
                  <c:v>43905</c:v>
                </c:pt>
                <c:pt idx="534">
                  <c:v>43906</c:v>
                </c:pt>
                <c:pt idx="535">
                  <c:v>43907</c:v>
                </c:pt>
                <c:pt idx="536">
                  <c:v>43908</c:v>
                </c:pt>
                <c:pt idx="537">
                  <c:v>43909</c:v>
                </c:pt>
                <c:pt idx="538">
                  <c:v>43910</c:v>
                </c:pt>
                <c:pt idx="539">
                  <c:v>43911</c:v>
                </c:pt>
                <c:pt idx="540">
                  <c:v>43912</c:v>
                </c:pt>
                <c:pt idx="541">
                  <c:v>43913</c:v>
                </c:pt>
                <c:pt idx="542">
                  <c:v>43914</c:v>
                </c:pt>
                <c:pt idx="543">
                  <c:v>43915</c:v>
                </c:pt>
                <c:pt idx="544">
                  <c:v>43916</c:v>
                </c:pt>
                <c:pt idx="545">
                  <c:v>43917</c:v>
                </c:pt>
                <c:pt idx="546">
                  <c:v>43918</c:v>
                </c:pt>
                <c:pt idx="547">
                  <c:v>43919</c:v>
                </c:pt>
                <c:pt idx="548">
                  <c:v>43920</c:v>
                </c:pt>
                <c:pt idx="549">
                  <c:v>43921</c:v>
                </c:pt>
                <c:pt idx="550">
                  <c:v>43922</c:v>
                </c:pt>
                <c:pt idx="551">
                  <c:v>43923</c:v>
                </c:pt>
                <c:pt idx="552">
                  <c:v>43924</c:v>
                </c:pt>
                <c:pt idx="553">
                  <c:v>43925</c:v>
                </c:pt>
                <c:pt idx="554">
                  <c:v>43926</c:v>
                </c:pt>
                <c:pt idx="555">
                  <c:v>43927</c:v>
                </c:pt>
                <c:pt idx="556">
                  <c:v>43928</c:v>
                </c:pt>
                <c:pt idx="557">
                  <c:v>43929</c:v>
                </c:pt>
                <c:pt idx="558">
                  <c:v>43930</c:v>
                </c:pt>
                <c:pt idx="559">
                  <c:v>43931</c:v>
                </c:pt>
                <c:pt idx="560">
                  <c:v>43932</c:v>
                </c:pt>
                <c:pt idx="561">
                  <c:v>43933</c:v>
                </c:pt>
                <c:pt idx="562">
                  <c:v>43934</c:v>
                </c:pt>
                <c:pt idx="563">
                  <c:v>43935</c:v>
                </c:pt>
                <c:pt idx="564">
                  <c:v>43936</c:v>
                </c:pt>
                <c:pt idx="565">
                  <c:v>43937</c:v>
                </c:pt>
                <c:pt idx="566">
                  <c:v>43938</c:v>
                </c:pt>
                <c:pt idx="567">
                  <c:v>43939</c:v>
                </c:pt>
                <c:pt idx="568">
                  <c:v>43940</c:v>
                </c:pt>
                <c:pt idx="569">
                  <c:v>43941</c:v>
                </c:pt>
                <c:pt idx="570">
                  <c:v>43942</c:v>
                </c:pt>
                <c:pt idx="571">
                  <c:v>43943</c:v>
                </c:pt>
                <c:pt idx="572">
                  <c:v>43944</c:v>
                </c:pt>
                <c:pt idx="573">
                  <c:v>43945</c:v>
                </c:pt>
                <c:pt idx="574">
                  <c:v>43946</c:v>
                </c:pt>
                <c:pt idx="575">
                  <c:v>43947</c:v>
                </c:pt>
                <c:pt idx="576">
                  <c:v>43948</c:v>
                </c:pt>
                <c:pt idx="577">
                  <c:v>43949</c:v>
                </c:pt>
                <c:pt idx="578">
                  <c:v>43950</c:v>
                </c:pt>
                <c:pt idx="579">
                  <c:v>43951</c:v>
                </c:pt>
                <c:pt idx="580">
                  <c:v>43952</c:v>
                </c:pt>
                <c:pt idx="581">
                  <c:v>43953</c:v>
                </c:pt>
                <c:pt idx="582">
                  <c:v>43954</c:v>
                </c:pt>
                <c:pt idx="583">
                  <c:v>43955</c:v>
                </c:pt>
                <c:pt idx="584">
                  <c:v>43956</c:v>
                </c:pt>
                <c:pt idx="585">
                  <c:v>43957</c:v>
                </c:pt>
                <c:pt idx="586">
                  <c:v>43958</c:v>
                </c:pt>
                <c:pt idx="587">
                  <c:v>43959</c:v>
                </c:pt>
                <c:pt idx="588">
                  <c:v>43960</c:v>
                </c:pt>
                <c:pt idx="589">
                  <c:v>43961</c:v>
                </c:pt>
                <c:pt idx="590">
                  <c:v>43962</c:v>
                </c:pt>
                <c:pt idx="591">
                  <c:v>43963</c:v>
                </c:pt>
                <c:pt idx="592">
                  <c:v>43964</c:v>
                </c:pt>
                <c:pt idx="593">
                  <c:v>43965</c:v>
                </c:pt>
                <c:pt idx="594">
                  <c:v>43966</c:v>
                </c:pt>
                <c:pt idx="595">
                  <c:v>43967</c:v>
                </c:pt>
                <c:pt idx="596">
                  <c:v>43968</c:v>
                </c:pt>
                <c:pt idx="597">
                  <c:v>43969</c:v>
                </c:pt>
                <c:pt idx="598">
                  <c:v>43970</c:v>
                </c:pt>
                <c:pt idx="599">
                  <c:v>43971</c:v>
                </c:pt>
                <c:pt idx="600">
                  <c:v>43972</c:v>
                </c:pt>
                <c:pt idx="601">
                  <c:v>43973</c:v>
                </c:pt>
                <c:pt idx="602">
                  <c:v>43974</c:v>
                </c:pt>
                <c:pt idx="603">
                  <c:v>43975</c:v>
                </c:pt>
                <c:pt idx="604">
                  <c:v>43976</c:v>
                </c:pt>
                <c:pt idx="605">
                  <c:v>43977</c:v>
                </c:pt>
                <c:pt idx="606">
                  <c:v>43978</c:v>
                </c:pt>
                <c:pt idx="607">
                  <c:v>43979</c:v>
                </c:pt>
                <c:pt idx="608">
                  <c:v>43980</c:v>
                </c:pt>
                <c:pt idx="609">
                  <c:v>43981</c:v>
                </c:pt>
                <c:pt idx="610">
                  <c:v>43982</c:v>
                </c:pt>
                <c:pt idx="611">
                  <c:v>43983</c:v>
                </c:pt>
                <c:pt idx="612">
                  <c:v>43984</c:v>
                </c:pt>
                <c:pt idx="613">
                  <c:v>43985</c:v>
                </c:pt>
                <c:pt idx="614">
                  <c:v>43986</c:v>
                </c:pt>
                <c:pt idx="615">
                  <c:v>43987</c:v>
                </c:pt>
                <c:pt idx="616">
                  <c:v>43988</c:v>
                </c:pt>
                <c:pt idx="617">
                  <c:v>43989</c:v>
                </c:pt>
                <c:pt idx="618">
                  <c:v>43990</c:v>
                </c:pt>
                <c:pt idx="619">
                  <c:v>43991</c:v>
                </c:pt>
                <c:pt idx="620">
                  <c:v>43992</c:v>
                </c:pt>
                <c:pt idx="621">
                  <c:v>43993</c:v>
                </c:pt>
                <c:pt idx="622">
                  <c:v>43994</c:v>
                </c:pt>
                <c:pt idx="623">
                  <c:v>43995</c:v>
                </c:pt>
                <c:pt idx="624">
                  <c:v>43996</c:v>
                </c:pt>
                <c:pt idx="625">
                  <c:v>43997</c:v>
                </c:pt>
                <c:pt idx="626">
                  <c:v>43998</c:v>
                </c:pt>
                <c:pt idx="627">
                  <c:v>43999</c:v>
                </c:pt>
                <c:pt idx="628">
                  <c:v>44000</c:v>
                </c:pt>
                <c:pt idx="629">
                  <c:v>44001</c:v>
                </c:pt>
                <c:pt idx="630">
                  <c:v>44002</c:v>
                </c:pt>
                <c:pt idx="631">
                  <c:v>44003</c:v>
                </c:pt>
                <c:pt idx="632">
                  <c:v>44004</c:v>
                </c:pt>
                <c:pt idx="633">
                  <c:v>44005</c:v>
                </c:pt>
                <c:pt idx="634">
                  <c:v>44006</c:v>
                </c:pt>
                <c:pt idx="635">
                  <c:v>44007</c:v>
                </c:pt>
                <c:pt idx="636">
                  <c:v>44008</c:v>
                </c:pt>
                <c:pt idx="637">
                  <c:v>44009</c:v>
                </c:pt>
                <c:pt idx="638">
                  <c:v>44010</c:v>
                </c:pt>
                <c:pt idx="639">
                  <c:v>44011</c:v>
                </c:pt>
                <c:pt idx="640">
                  <c:v>44012</c:v>
                </c:pt>
                <c:pt idx="641">
                  <c:v>44013</c:v>
                </c:pt>
                <c:pt idx="642">
                  <c:v>44014</c:v>
                </c:pt>
                <c:pt idx="643">
                  <c:v>44015</c:v>
                </c:pt>
                <c:pt idx="644">
                  <c:v>44016</c:v>
                </c:pt>
                <c:pt idx="645">
                  <c:v>44017</c:v>
                </c:pt>
                <c:pt idx="646">
                  <c:v>44018</c:v>
                </c:pt>
                <c:pt idx="647">
                  <c:v>44019</c:v>
                </c:pt>
                <c:pt idx="648">
                  <c:v>44020</c:v>
                </c:pt>
                <c:pt idx="649">
                  <c:v>44021</c:v>
                </c:pt>
                <c:pt idx="650">
                  <c:v>44022</c:v>
                </c:pt>
                <c:pt idx="651">
                  <c:v>44023</c:v>
                </c:pt>
                <c:pt idx="652">
                  <c:v>44024</c:v>
                </c:pt>
                <c:pt idx="653">
                  <c:v>44025</c:v>
                </c:pt>
                <c:pt idx="654">
                  <c:v>44026</c:v>
                </c:pt>
                <c:pt idx="655">
                  <c:v>44027</c:v>
                </c:pt>
                <c:pt idx="656">
                  <c:v>44028</c:v>
                </c:pt>
                <c:pt idx="657">
                  <c:v>44029</c:v>
                </c:pt>
                <c:pt idx="658">
                  <c:v>44030</c:v>
                </c:pt>
                <c:pt idx="659">
                  <c:v>44031</c:v>
                </c:pt>
                <c:pt idx="660">
                  <c:v>44032</c:v>
                </c:pt>
                <c:pt idx="661">
                  <c:v>44033</c:v>
                </c:pt>
                <c:pt idx="662">
                  <c:v>44034</c:v>
                </c:pt>
                <c:pt idx="663">
                  <c:v>44035</c:v>
                </c:pt>
                <c:pt idx="664">
                  <c:v>44036</c:v>
                </c:pt>
                <c:pt idx="665">
                  <c:v>44037</c:v>
                </c:pt>
                <c:pt idx="666">
                  <c:v>44038</c:v>
                </c:pt>
                <c:pt idx="667">
                  <c:v>44039</c:v>
                </c:pt>
                <c:pt idx="668">
                  <c:v>44040</c:v>
                </c:pt>
                <c:pt idx="669">
                  <c:v>44041</c:v>
                </c:pt>
                <c:pt idx="670">
                  <c:v>44042</c:v>
                </c:pt>
                <c:pt idx="671">
                  <c:v>44043</c:v>
                </c:pt>
                <c:pt idx="672">
                  <c:v>44044</c:v>
                </c:pt>
                <c:pt idx="673">
                  <c:v>44045</c:v>
                </c:pt>
                <c:pt idx="674">
                  <c:v>44046</c:v>
                </c:pt>
                <c:pt idx="675">
                  <c:v>44047</c:v>
                </c:pt>
                <c:pt idx="676">
                  <c:v>44048</c:v>
                </c:pt>
                <c:pt idx="677">
                  <c:v>44049</c:v>
                </c:pt>
                <c:pt idx="678">
                  <c:v>44050</c:v>
                </c:pt>
                <c:pt idx="679">
                  <c:v>44051</c:v>
                </c:pt>
                <c:pt idx="680">
                  <c:v>44052</c:v>
                </c:pt>
                <c:pt idx="681">
                  <c:v>44053</c:v>
                </c:pt>
                <c:pt idx="682">
                  <c:v>44054</c:v>
                </c:pt>
                <c:pt idx="683">
                  <c:v>44055</c:v>
                </c:pt>
                <c:pt idx="684">
                  <c:v>44056</c:v>
                </c:pt>
                <c:pt idx="685">
                  <c:v>44057</c:v>
                </c:pt>
                <c:pt idx="686">
                  <c:v>44058</c:v>
                </c:pt>
                <c:pt idx="687">
                  <c:v>44059</c:v>
                </c:pt>
                <c:pt idx="688">
                  <c:v>44060</c:v>
                </c:pt>
                <c:pt idx="689">
                  <c:v>44061</c:v>
                </c:pt>
                <c:pt idx="690">
                  <c:v>44062</c:v>
                </c:pt>
                <c:pt idx="691">
                  <c:v>44063</c:v>
                </c:pt>
                <c:pt idx="692">
                  <c:v>44064</c:v>
                </c:pt>
                <c:pt idx="693">
                  <c:v>44065</c:v>
                </c:pt>
                <c:pt idx="694">
                  <c:v>44066</c:v>
                </c:pt>
                <c:pt idx="695">
                  <c:v>44067</c:v>
                </c:pt>
                <c:pt idx="696">
                  <c:v>44068</c:v>
                </c:pt>
                <c:pt idx="697">
                  <c:v>44069</c:v>
                </c:pt>
                <c:pt idx="698">
                  <c:v>44070</c:v>
                </c:pt>
                <c:pt idx="699">
                  <c:v>44071</c:v>
                </c:pt>
                <c:pt idx="700">
                  <c:v>44072</c:v>
                </c:pt>
                <c:pt idx="701">
                  <c:v>44073</c:v>
                </c:pt>
                <c:pt idx="702">
                  <c:v>44074</c:v>
                </c:pt>
                <c:pt idx="703">
                  <c:v>44075</c:v>
                </c:pt>
                <c:pt idx="704">
                  <c:v>44076</c:v>
                </c:pt>
                <c:pt idx="705">
                  <c:v>44077</c:v>
                </c:pt>
                <c:pt idx="706">
                  <c:v>44078</c:v>
                </c:pt>
                <c:pt idx="707">
                  <c:v>44079</c:v>
                </c:pt>
                <c:pt idx="708">
                  <c:v>44080</c:v>
                </c:pt>
                <c:pt idx="709">
                  <c:v>44081</c:v>
                </c:pt>
                <c:pt idx="710">
                  <c:v>44082</c:v>
                </c:pt>
                <c:pt idx="711">
                  <c:v>44083</c:v>
                </c:pt>
                <c:pt idx="712">
                  <c:v>44084</c:v>
                </c:pt>
                <c:pt idx="713">
                  <c:v>44085</c:v>
                </c:pt>
                <c:pt idx="714">
                  <c:v>44086</c:v>
                </c:pt>
                <c:pt idx="715">
                  <c:v>44087</c:v>
                </c:pt>
                <c:pt idx="716">
                  <c:v>44088</c:v>
                </c:pt>
                <c:pt idx="717">
                  <c:v>44089</c:v>
                </c:pt>
                <c:pt idx="718">
                  <c:v>44090</c:v>
                </c:pt>
                <c:pt idx="719">
                  <c:v>44091</c:v>
                </c:pt>
                <c:pt idx="720">
                  <c:v>44092</c:v>
                </c:pt>
                <c:pt idx="721">
                  <c:v>44093</c:v>
                </c:pt>
                <c:pt idx="722">
                  <c:v>44094</c:v>
                </c:pt>
                <c:pt idx="723">
                  <c:v>44095</c:v>
                </c:pt>
                <c:pt idx="724">
                  <c:v>44096</c:v>
                </c:pt>
                <c:pt idx="725">
                  <c:v>44097</c:v>
                </c:pt>
                <c:pt idx="726">
                  <c:v>44098</c:v>
                </c:pt>
                <c:pt idx="727">
                  <c:v>44099</c:v>
                </c:pt>
                <c:pt idx="728">
                  <c:v>44100</c:v>
                </c:pt>
                <c:pt idx="729">
                  <c:v>44101</c:v>
                </c:pt>
                <c:pt idx="730">
                  <c:v>44102</c:v>
                </c:pt>
                <c:pt idx="731">
                  <c:v>44103</c:v>
                </c:pt>
                <c:pt idx="732">
                  <c:v>44104</c:v>
                </c:pt>
                <c:pt idx="733">
                  <c:v>44105</c:v>
                </c:pt>
                <c:pt idx="734">
                  <c:v>44106</c:v>
                </c:pt>
                <c:pt idx="735">
                  <c:v>44107</c:v>
                </c:pt>
                <c:pt idx="736">
                  <c:v>44108</c:v>
                </c:pt>
                <c:pt idx="737">
                  <c:v>44109</c:v>
                </c:pt>
                <c:pt idx="738">
                  <c:v>44110</c:v>
                </c:pt>
                <c:pt idx="739">
                  <c:v>44111</c:v>
                </c:pt>
                <c:pt idx="740">
                  <c:v>44112</c:v>
                </c:pt>
                <c:pt idx="741">
                  <c:v>44113</c:v>
                </c:pt>
                <c:pt idx="742">
                  <c:v>44114</c:v>
                </c:pt>
                <c:pt idx="743">
                  <c:v>44115</c:v>
                </c:pt>
                <c:pt idx="744">
                  <c:v>44116</c:v>
                </c:pt>
                <c:pt idx="745">
                  <c:v>44117</c:v>
                </c:pt>
                <c:pt idx="746">
                  <c:v>44118</c:v>
                </c:pt>
                <c:pt idx="747">
                  <c:v>44119</c:v>
                </c:pt>
                <c:pt idx="748">
                  <c:v>44120</c:v>
                </c:pt>
                <c:pt idx="749">
                  <c:v>44121</c:v>
                </c:pt>
                <c:pt idx="750">
                  <c:v>44122</c:v>
                </c:pt>
                <c:pt idx="751">
                  <c:v>44123</c:v>
                </c:pt>
                <c:pt idx="752">
                  <c:v>44124</c:v>
                </c:pt>
                <c:pt idx="753">
                  <c:v>44125</c:v>
                </c:pt>
                <c:pt idx="754">
                  <c:v>44126</c:v>
                </c:pt>
                <c:pt idx="755">
                  <c:v>44127</c:v>
                </c:pt>
                <c:pt idx="756">
                  <c:v>44128</c:v>
                </c:pt>
                <c:pt idx="757">
                  <c:v>44129</c:v>
                </c:pt>
                <c:pt idx="758">
                  <c:v>44130</c:v>
                </c:pt>
                <c:pt idx="759">
                  <c:v>44131</c:v>
                </c:pt>
                <c:pt idx="760">
                  <c:v>44132</c:v>
                </c:pt>
                <c:pt idx="761">
                  <c:v>44133</c:v>
                </c:pt>
                <c:pt idx="762">
                  <c:v>44134</c:v>
                </c:pt>
                <c:pt idx="763">
                  <c:v>44135</c:v>
                </c:pt>
                <c:pt idx="764">
                  <c:v>44136</c:v>
                </c:pt>
                <c:pt idx="765">
                  <c:v>44137</c:v>
                </c:pt>
                <c:pt idx="766">
                  <c:v>44138</c:v>
                </c:pt>
                <c:pt idx="767">
                  <c:v>44139</c:v>
                </c:pt>
                <c:pt idx="768">
                  <c:v>44140</c:v>
                </c:pt>
                <c:pt idx="769">
                  <c:v>44141</c:v>
                </c:pt>
                <c:pt idx="770">
                  <c:v>44142</c:v>
                </c:pt>
                <c:pt idx="771">
                  <c:v>44143</c:v>
                </c:pt>
                <c:pt idx="772">
                  <c:v>44144</c:v>
                </c:pt>
                <c:pt idx="773">
                  <c:v>44145</c:v>
                </c:pt>
                <c:pt idx="774">
                  <c:v>44146</c:v>
                </c:pt>
                <c:pt idx="775">
                  <c:v>44147</c:v>
                </c:pt>
                <c:pt idx="776">
                  <c:v>44148</c:v>
                </c:pt>
                <c:pt idx="777">
                  <c:v>44149</c:v>
                </c:pt>
                <c:pt idx="778">
                  <c:v>44150</c:v>
                </c:pt>
                <c:pt idx="779">
                  <c:v>44151</c:v>
                </c:pt>
                <c:pt idx="780">
                  <c:v>44152</c:v>
                </c:pt>
                <c:pt idx="781">
                  <c:v>44153</c:v>
                </c:pt>
                <c:pt idx="782">
                  <c:v>44154</c:v>
                </c:pt>
                <c:pt idx="783">
                  <c:v>44155</c:v>
                </c:pt>
                <c:pt idx="784">
                  <c:v>44156</c:v>
                </c:pt>
                <c:pt idx="785">
                  <c:v>44157</c:v>
                </c:pt>
                <c:pt idx="786">
                  <c:v>44158</c:v>
                </c:pt>
                <c:pt idx="787">
                  <c:v>44159</c:v>
                </c:pt>
                <c:pt idx="788">
                  <c:v>44160</c:v>
                </c:pt>
                <c:pt idx="789">
                  <c:v>44161</c:v>
                </c:pt>
                <c:pt idx="790">
                  <c:v>44162</c:v>
                </c:pt>
                <c:pt idx="791">
                  <c:v>44163</c:v>
                </c:pt>
                <c:pt idx="792">
                  <c:v>44164</c:v>
                </c:pt>
                <c:pt idx="793">
                  <c:v>44165</c:v>
                </c:pt>
                <c:pt idx="794">
                  <c:v>44166</c:v>
                </c:pt>
                <c:pt idx="795">
                  <c:v>44167</c:v>
                </c:pt>
                <c:pt idx="796">
                  <c:v>44168</c:v>
                </c:pt>
                <c:pt idx="797">
                  <c:v>44169</c:v>
                </c:pt>
                <c:pt idx="798">
                  <c:v>44170</c:v>
                </c:pt>
                <c:pt idx="799">
                  <c:v>44171</c:v>
                </c:pt>
                <c:pt idx="800">
                  <c:v>44172</c:v>
                </c:pt>
                <c:pt idx="801">
                  <c:v>44173</c:v>
                </c:pt>
                <c:pt idx="802">
                  <c:v>44174</c:v>
                </c:pt>
                <c:pt idx="803">
                  <c:v>44175</c:v>
                </c:pt>
                <c:pt idx="804">
                  <c:v>44176</c:v>
                </c:pt>
                <c:pt idx="805">
                  <c:v>44177</c:v>
                </c:pt>
                <c:pt idx="806">
                  <c:v>44178</c:v>
                </c:pt>
                <c:pt idx="807">
                  <c:v>44179</c:v>
                </c:pt>
                <c:pt idx="808">
                  <c:v>44180</c:v>
                </c:pt>
                <c:pt idx="809">
                  <c:v>44181</c:v>
                </c:pt>
                <c:pt idx="810">
                  <c:v>44182</c:v>
                </c:pt>
                <c:pt idx="811">
                  <c:v>44183</c:v>
                </c:pt>
                <c:pt idx="812">
                  <c:v>44184</c:v>
                </c:pt>
                <c:pt idx="813">
                  <c:v>44185</c:v>
                </c:pt>
                <c:pt idx="814">
                  <c:v>44186</c:v>
                </c:pt>
                <c:pt idx="815">
                  <c:v>44187</c:v>
                </c:pt>
                <c:pt idx="816">
                  <c:v>44188</c:v>
                </c:pt>
                <c:pt idx="817">
                  <c:v>44189</c:v>
                </c:pt>
                <c:pt idx="818">
                  <c:v>44190</c:v>
                </c:pt>
                <c:pt idx="819">
                  <c:v>44191</c:v>
                </c:pt>
                <c:pt idx="820">
                  <c:v>44192</c:v>
                </c:pt>
                <c:pt idx="821">
                  <c:v>44193</c:v>
                </c:pt>
                <c:pt idx="822">
                  <c:v>44194</c:v>
                </c:pt>
                <c:pt idx="823">
                  <c:v>44195</c:v>
                </c:pt>
                <c:pt idx="824">
                  <c:v>44196</c:v>
                </c:pt>
                <c:pt idx="825">
                  <c:v>44197</c:v>
                </c:pt>
                <c:pt idx="826">
                  <c:v>44198</c:v>
                </c:pt>
                <c:pt idx="827">
                  <c:v>44199</c:v>
                </c:pt>
                <c:pt idx="828">
                  <c:v>44200</c:v>
                </c:pt>
                <c:pt idx="829">
                  <c:v>44201</c:v>
                </c:pt>
                <c:pt idx="830">
                  <c:v>44202</c:v>
                </c:pt>
                <c:pt idx="831">
                  <c:v>44203</c:v>
                </c:pt>
                <c:pt idx="832">
                  <c:v>44204</c:v>
                </c:pt>
                <c:pt idx="833">
                  <c:v>44205</c:v>
                </c:pt>
                <c:pt idx="834">
                  <c:v>44206</c:v>
                </c:pt>
                <c:pt idx="835">
                  <c:v>44207</c:v>
                </c:pt>
                <c:pt idx="836">
                  <c:v>44208</c:v>
                </c:pt>
                <c:pt idx="837">
                  <c:v>44209</c:v>
                </c:pt>
                <c:pt idx="838">
                  <c:v>44210</c:v>
                </c:pt>
                <c:pt idx="839">
                  <c:v>44211</c:v>
                </c:pt>
                <c:pt idx="840">
                  <c:v>44212</c:v>
                </c:pt>
                <c:pt idx="841">
                  <c:v>44213</c:v>
                </c:pt>
                <c:pt idx="842">
                  <c:v>44214</c:v>
                </c:pt>
                <c:pt idx="843">
                  <c:v>44215</c:v>
                </c:pt>
                <c:pt idx="844">
                  <c:v>44216</c:v>
                </c:pt>
                <c:pt idx="845">
                  <c:v>44217</c:v>
                </c:pt>
                <c:pt idx="846">
                  <c:v>44218</c:v>
                </c:pt>
                <c:pt idx="847">
                  <c:v>44219</c:v>
                </c:pt>
                <c:pt idx="848">
                  <c:v>44220</c:v>
                </c:pt>
                <c:pt idx="849">
                  <c:v>44221</c:v>
                </c:pt>
                <c:pt idx="850">
                  <c:v>44222</c:v>
                </c:pt>
                <c:pt idx="851">
                  <c:v>44223</c:v>
                </c:pt>
                <c:pt idx="852">
                  <c:v>44224</c:v>
                </c:pt>
                <c:pt idx="853">
                  <c:v>44225</c:v>
                </c:pt>
                <c:pt idx="854">
                  <c:v>44226</c:v>
                </c:pt>
                <c:pt idx="855">
                  <c:v>44227</c:v>
                </c:pt>
                <c:pt idx="856">
                  <c:v>44228</c:v>
                </c:pt>
                <c:pt idx="857">
                  <c:v>44229</c:v>
                </c:pt>
                <c:pt idx="858">
                  <c:v>44230</c:v>
                </c:pt>
                <c:pt idx="859">
                  <c:v>44231</c:v>
                </c:pt>
                <c:pt idx="860">
                  <c:v>44232</c:v>
                </c:pt>
                <c:pt idx="861">
                  <c:v>44233</c:v>
                </c:pt>
                <c:pt idx="862">
                  <c:v>44234</c:v>
                </c:pt>
                <c:pt idx="863">
                  <c:v>44235</c:v>
                </c:pt>
                <c:pt idx="864">
                  <c:v>44236</c:v>
                </c:pt>
                <c:pt idx="865">
                  <c:v>44237</c:v>
                </c:pt>
                <c:pt idx="866">
                  <c:v>44238</c:v>
                </c:pt>
                <c:pt idx="867">
                  <c:v>44239</c:v>
                </c:pt>
                <c:pt idx="868">
                  <c:v>44240</c:v>
                </c:pt>
                <c:pt idx="869">
                  <c:v>44241</c:v>
                </c:pt>
                <c:pt idx="870">
                  <c:v>44242</c:v>
                </c:pt>
                <c:pt idx="871">
                  <c:v>44243</c:v>
                </c:pt>
                <c:pt idx="872">
                  <c:v>44244</c:v>
                </c:pt>
                <c:pt idx="873">
                  <c:v>44245</c:v>
                </c:pt>
                <c:pt idx="874">
                  <c:v>44246</c:v>
                </c:pt>
                <c:pt idx="875">
                  <c:v>44247</c:v>
                </c:pt>
                <c:pt idx="876">
                  <c:v>44248</c:v>
                </c:pt>
                <c:pt idx="877">
                  <c:v>44249</c:v>
                </c:pt>
                <c:pt idx="878">
                  <c:v>44250</c:v>
                </c:pt>
                <c:pt idx="879">
                  <c:v>44251</c:v>
                </c:pt>
                <c:pt idx="880">
                  <c:v>44252</c:v>
                </c:pt>
                <c:pt idx="881">
                  <c:v>44253</c:v>
                </c:pt>
                <c:pt idx="882">
                  <c:v>44254</c:v>
                </c:pt>
                <c:pt idx="883">
                  <c:v>44255</c:v>
                </c:pt>
                <c:pt idx="884">
                  <c:v>44256</c:v>
                </c:pt>
                <c:pt idx="885">
                  <c:v>44257</c:v>
                </c:pt>
                <c:pt idx="886">
                  <c:v>44258</c:v>
                </c:pt>
                <c:pt idx="887">
                  <c:v>44259</c:v>
                </c:pt>
                <c:pt idx="888">
                  <c:v>44260</c:v>
                </c:pt>
                <c:pt idx="889">
                  <c:v>44261</c:v>
                </c:pt>
                <c:pt idx="890">
                  <c:v>44262</c:v>
                </c:pt>
                <c:pt idx="891">
                  <c:v>44263</c:v>
                </c:pt>
                <c:pt idx="892">
                  <c:v>44264</c:v>
                </c:pt>
                <c:pt idx="893">
                  <c:v>44265</c:v>
                </c:pt>
                <c:pt idx="894">
                  <c:v>44266</c:v>
                </c:pt>
                <c:pt idx="895">
                  <c:v>44267</c:v>
                </c:pt>
                <c:pt idx="896">
                  <c:v>44268</c:v>
                </c:pt>
                <c:pt idx="897">
                  <c:v>44269</c:v>
                </c:pt>
                <c:pt idx="898">
                  <c:v>44270</c:v>
                </c:pt>
                <c:pt idx="899">
                  <c:v>44271</c:v>
                </c:pt>
                <c:pt idx="900">
                  <c:v>44272</c:v>
                </c:pt>
                <c:pt idx="901">
                  <c:v>44273</c:v>
                </c:pt>
                <c:pt idx="902">
                  <c:v>44274</c:v>
                </c:pt>
                <c:pt idx="903">
                  <c:v>44275</c:v>
                </c:pt>
                <c:pt idx="904">
                  <c:v>44276</c:v>
                </c:pt>
                <c:pt idx="905">
                  <c:v>44277</c:v>
                </c:pt>
                <c:pt idx="906">
                  <c:v>44278</c:v>
                </c:pt>
                <c:pt idx="907">
                  <c:v>44279</c:v>
                </c:pt>
                <c:pt idx="908">
                  <c:v>44280</c:v>
                </c:pt>
                <c:pt idx="909">
                  <c:v>44281</c:v>
                </c:pt>
                <c:pt idx="910">
                  <c:v>44282</c:v>
                </c:pt>
                <c:pt idx="911">
                  <c:v>44283</c:v>
                </c:pt>
                <c:pt idx="912">
                  <c:v>44284</c:v>
                </c:pt>
                <c:pt idx="913">
                  <c:v>44285</c:v>
                </c:pt>
                <c:pt idx="914">
                  <c:v>44286</c:v>
                </c:pt>
                <c:pt idx="915">
                  <c:v>44287</c:v>
                </c:pt>
                <c:pt idx="916">
                  <c:v>44288</c:v>
                </c:pt>
                <c:pt idx="917">
                  <c:v>44289</c:v>
                </c:pt>
                <c:pt idx="918">
                  <c:v>44290</c:v>
                </c:pt>
                <c:pt idx="919">
                  <c:v>44291</c:v>
                </c:pt>
                <c:pt idx="920">
                  <c:v>44292</c:v>
                </c:pt>
                <c:pt idx="921">
                  <c:v>44293</c:v>
                </c:pt>
                <c:pt idx="922">
                  <c:v>44294</c:v>
                </c:pt>
                <c:pt idx="923">
                  <c:v>44295</c:v>
                </c:pt>
                <c:pt idx="924">
                  <c:v>44296</c:v>
                </c:pt>
                <c:pt idx="925">
                  <c:v>44297</c:v>
                </c:pt>
                <c:pt idx="926">
                  <c:v>44298</c:v>
                </c:pt>
                <c:pt idx="927">
                  <c:v>44299</c:v>
                </c:pt>
                <c:pt idx="928">
                  <c:v>44300</c:v>
                </c:pt>
                <c:pt idx="929">
                  <c:v>44301</c:v>
                </c:pt>
                <c:pt idx="930">
                  <c:v>44302</c:v>
                </c:pt>
                <c:pt idx="931">
                  <c:v>44303</c:v>
                </c:pt>
                <c:pt idx="932">
                  <c:v>44304</c:v>
                </c:pt>
                <c:pt idx="933">
                  <c:v>44305</c:v>
                </c:pt>
                <c:pt idx="934">
                  <c:v>44306</c:v>
                </c:pt>
                <c:pt idx="935">
                  <c:v>44307</c:v>
                </c:pt>
                <c:pt idx="936">
                  <c:v>44308</c:v>
                </c:pt>
                <c:pt idx="937">
                  <c:v>44309</c:v>
                </c:pt>
                <c:pt idx="938">
                  <c:v>44310</c:v>
                </c:pt>
                <c:pt idx="939">
                  <c:v>44311</c:v>
                </c:pt>
                <c:pt idx="940">
                  <c:v>44312</c:v>
                </c:pt>
                <c:pt idx="941">
                  <c:v>44313</c:v>
                </c:pt>
                <c:pt idx="942">
                  <c:v>44314</c:v>
                </c:pt>
                <c:pt idx="943">
                  <c:v>44315</c:v>
                </c:pt>
                <c:pt idx="944">
                  <c:v>44316</c:v>
                </c:pt>
                <c:pt idx="945">
                  <c:v>44317</c:v>
                </c:pt>
                <c:pt idx="946">
                  <c:v>44318</c:v>
                </c:pt>
                <c:pt idx="947">
                  <c:v>44319</c:v>
                </c:pt>
                <c:pt idx="948">
                  <c:v>44320</c:v>
                </c:pt>
                <c:pt idx="949">
                  <c:v>44321</c:v>
                </c:pt>
                <c:pt idx="950">
                  <c:v>44322</c:v>
                </c:pt>
                <c:pt idx="951">
                  <c:v>44323</c:v>
                </c:pt>
                <c:pt idx="952">
                  <c:v>44324</c:v>
                </c:pt>
                <c:pt idx="953">
                  <c:v>44325</c:v>
                </c:pt>
                <c:pt idx="954">
                  <c:v>44326</c:v>
                </c:pt>
                <c:pt idx="955">
                  <c:v>44327</c:v>
                </c:pt>
                <c:pt idx="956">
                  <c:v>44328</c:v>
                </c:pt>
                <c:pt idx="957">
                  <c:v>44329</c:v>
                </c:pt>
                <c:pt idx="958">
                  <c:v>44330</c:v>
                </c:pt>
                <c:pt idx="959">
                  <c:v>44331</c:v>
                </c:pt>
                <c:pt idx="960">
                  <c:v>44332</c:v>
                </c:pt>
                <c:pt idx="961">
                  <c:v>44333</c:v>
                </c:pt>
                <c:pt idx="962">
                  <c:v>44334</c:v>
                </c:pt>
                <c:pt idx="963">
                  <c:v>44335</c:v>
                </c:pt>
                <c:pt idx="964">
                  <c:v>44336</c:v>
                </c:pt>
                <c:pt idx="965">
                  <c:v>44337</c:v>
                </c:pt>
                <c:pt idx="966">
                  <c:v>44338</c:v>
                </c:pt>
                <c:pt idx="967">
                  <c:v>44339</c:v>
                </c:pt>
                <c:pt idx="968">
                  <c:v>44340</c:v>
                </c:pt>
                <c:pt idx="969">
                  <c:v>44341</c:v>
                </c:pt>
                <c:pt idx="970">
                  <c:v>44342</c:v>
                </c:pt>
                <c:pt idx="971">
                  <c:v>44343</c:v>
                </c:pt>
                <c:pt idx="972">
                  <c:v>44344</c:v>
                </c:pt>
                <c:pt idx="973">
                  <c:v>44345</c:v>
                </c:pt>
                <c:pt idx="974">
                  <c:v>44346</c:v>
                </c:pt>
                <c:pt idx="975">
                  <c:v>44347</c:v>
                </c:pt>
                <c:pt idx="976">
                  <c:v>44348</c:v>
                </c:pt>
                <c:pt idx="977">
                  <c:v>44349</c:v>
                </c:pt>
                <c:pt idx="978">
                  <c:v>44350</c:v>
                </c:pt>
                <c:pt idx="979">
                  <c:v>44351</c:v>
                </c:pt>
                <c:pt idx="980">
                  <c:v>44352</c:v>
                </c:pt>
                <c:pt idx="981">
                  <c:v>44353</c:v>
                </c:pt>
                <c:pt idx="982">
                  <c:v>44354</c:v>
                </c:pt>
                <c:pt idx="983">
                  <c:v>44355</c:v>
                </c:pt>
                <c:pt idx="984">
                  <c:v>44356</c:v>
                </c:pt>
                <c:pt idx="985">
                  <c:v>44357</c:v>
                </c:pt>
                <c:pt idx="986">
                  <c:v>44358</c:v>
                </c:pt>
                <c:pt idx="987">
                  <c:v>44359</c:v>
                </c:pt>
                <c:pt idx="988">
                  <c:v>44360</c:v>
                </c:pt>
                <c:pt idx="989">
                  <c:v>44361</c:v>
                </c:pt>
                <c:pt idx="990">
                  <c:v>44362</c:v>
                </c:pt>
                <c:pt idx="991">
                  <c:v>44363</c:v>
                </c:pt>
                <c:pt idx="992">
                  <c:v>44364</c:v>
                </c:pt>
                <c:pt idx="993">
                  <c:v>44365</c:v>
                </c:pt>
                <c:pt idx="994">
                  <c:v>44366</c:v>
                </c:pt>
                <c:pt idx="995">
                  <c:v>44367</c:v>
                </c:pt>
                <c:pt idx="996">
                  <c:v>44368</c:v>
                </c:pt>
                <c:pt idx="997">
                  <c:v>44369</c:v>
                </c:pt>
                <c:pt idx="998">
                  <c:v>44370</c:v>
                </c:pt>
                <c:pt idx="999">
                  <c:v>44371</c:v>
                </c:pt>
                <c:pt idx="1000">
                  <c:v>44372</c:v>
                </c:pt>
                <c:pt idx="1001">
                  <c:v>44373</c:v>
                </c:pt>
                <c:pt idx="1002">
                  <c:v>44374</c:v>
                </c:pt>
                <c:pt idx="1003">
                  <c:v>44375</c:v>
                </c:pt>
                <c:pt idx="1004">
                  <c:v>44376</c:v>
                </c:pt>
                <c:pt idx="1005">
                  <c:v>44377</c:v>
                </c:pt>
                <c:pt idx="1006">
                  <c:v>44378</c:v>
                </c:pt>
              </c:numCache>
            </c:numRef>
          </c:cat>
          <c:val>
            <c:numRef>
              <c:f>Sheet1!$B$2:$B$1008</c:f>
              <c:numCache>
                <c:formatCode>General</c:formatCode>
                <c:ptCount val="1007"/>
                <c:pt idx="0">
                  <c:v>17.933</c:v>
                </c:pt>
                <c:pt idx="1">
                  <c:v>14.435</c:v>
                </c:pt>
                <c:pt idx="2">
                  <c:v>19.152999999999999</c:v>
                </c:pt>
                <c:pt idx="3">
                  <c:v>21.039000000000001</c:v>
                </c:pt>
                <c:pt idx="4">
                  <c:v>23.747</c:v>
                </c:pt>
                <c:pt idx="5">
                  <c:v>19.184000000000001</c:v>
                </c:pt>
                <c:pt idx="6">
                  <c:v>21.125</c:v>
                </c:pt>
                <c:pt idx="7">
                  <c:v>18.164999999999999</c:v>
                </c:pt>
                <c:pt idx="8">
                  <c:v>18.558</c:v>
                </c:pt>
                <c:pt idx="9">
                  <c:v>25.832999999999998</c:v>
                </c:pt>
                <c:pt idx="10">
                  <c:v>24.556999999999999</c:v>
                </c:pt>
                <c:pt idx="11">
                  <c:v>19.777000000000001</c:v>
                </c:pt>
                <c:pt idx="12">
                  <c:v>20.849</c:v>
                </c:pt>
                <c:pt idx="13">
                  <c:v>19.722000000000001</c:v>
                </c:pt>
                <c:pt idx="14">
                  <c:v>16.974</c:v>
                </c:pt>
                <c:pt idx="15">
                  <c:v>15.971</c:v>
                </c:pt>
                <c:pt idx="16">
                  <c:v>18.681000000000001</c:v>
                </c:pt>
                <c:pt idx="17">
                  <c:v>25.04</c:v>
                </c:pt>
                <c:pt idx="18">
                  <c:v>24.832000000000001</c:v>
                </c:pt>
                <c:pt idx="19">
                  <c:v>25.097000000000001</c:v>
                </c:pt>
                <c:pt idx="20">
                  <c:v>19.856000000000002</c:v>
                </c:pt>
                <c:pt idx="21">
                  <c:v>17.373000000000001</c:v>
                </c:pt>
                <c:pt idx="22">
                  <c:v>15.750999999999999</c:v>
                </c:pt>
                <c:pt idx="23">
                  <c:v>18.454999999999998</c:v>
                </c:pt>
                <c:pt idx="24">
                  <c:v>22.576000000000001</c:v>
                </c:pt>
                <c:pt idx="25">
                  <c:v>23.800999999999998</c:v>
                </c:pt>
                <c:pt idx="26">
                  <c:v>25.164000000000001</c:v>
                </c:pt>
                <c:pt idx="27">
                  <c:v>26.513000000000002</c:v>
                </c:pt>
                <c:pt idx="28">
                  <c:v>22.582000000000001</c:v>
                </c:pt>
                <c:pt idx="29">
                  <c:v>24.148</c:v>
                </c:pt>
                <c:pt idx="30">
                  <c:v>29.757999999999999</c:v>
                </c:pt>
                <c:pt idx="31">
                  <c:v>31.789000000000001</c:v>
                </c:pt>
                <c:pt idx="32">
                  <c:v>27.98</c:v>
                </c:pt>
                <c:pt idx="33">
                  <c:v>24.762</c:v>
                </c:pt>
                <c:pt idx="34">
                  <c:v>25.797000000000001</c:v>
                </c:pt>
                <c:pt idx="35">
                  <c:v>21.844000000000001</c:v>
                </c:pt>
                <c:pt idx="36">
                  <c:v>22.157</c:v>
                </c:pt>
                <c:pt idx="37">
                  <c:v>26.216000000000001</c:v>
                </c:pt>
                <c:pt idx="38">
                  <c:v>28.367000000000001</c:v>
                </c:pt>
                <c:pt idx="39">
                  <c:v>23.225000000000001</c:v>
                </c:pt>
                <c:pt idx="40">
                  <c:v>25.965</c:v>
                </c:pt>
                <c:pt idx="41">
                  <c:v>21.382999999999999</c:v>
                </c:pt>
                <c:pt idx="42">
                  <c:v>18.193000000000001</c:v>
                </c:pt>
                <c:pt idx="43">
                  <c:v>19.526</c:v>
                </c:pt>
                <c:pt idx="44">
                  <c:v>25.04</c:v>
                </c:pt>
                <c:pt idx="45">
                  <c:v>30.837</c:v>
                </c:pt>
                <c:pt idx="46">
                  <c:v>30.405000000000001</c:v>
                </c:pt>
                <c:pt idx="47">
                  <c:v>28.616</c:v>
                </c:pt>
                <c:pt idx="48">
                  <c:v>21.966000000000001</c:v>
                </c:pt>
                <c:pt idx="49">
                  <c:v>17.39</c:v>
                </c:pt>
                <c:pt idx="50">
                  <c:v>19.788</c:v>
                </c:pt>
                <c:pt idx="51">
                  <c:v>26.972000000000001</c:v>
                </c:pt>
                <c:pt idx="52">
                  <c:v>28.861000000000001</c:v>
                </c:pt>
                <c:pt idx="53">
                  <c:v>21.312999999999999</c:v>
                </c:pt>
                <c:pt idx="54">
                  <c:v>21.687999999999999</c:v>
                </c:pt>
                <c:pt idx="55">
                  <c:v>24.143000000000001</c:v>
                </c:pt>
                <c:pt idx="56">
                  <c:v>22.504999999999999</c:v>
                </c:pt>
                <c:pt idx="57">
                  <c:v>20.632000000000001</c:v>
                </c:pt>
                <c:pt idx="58">
                  <c:v>29.503</c:v>
                </c:pt>
                <c:pt idx="59">
                  <c:v>25.408999999999999</c:v>
                </c:pt>
                <c:pt idx="60">
                  <c:v>22.353999999999999</c:v>
                </c:pt>
                <c:pt idx="61">
                  <c:v>25.04</c:v>
                </c:pt>
                <c:pt idx="62">
                  <c:v>22.084</c:v>
                </c:pt>
                <c:pt idx="63">
                  <c:v>16.475000000000001</c:v>
                </c:pt>
                <c:pt idx="64">
                  <c:v>16.245999999999999</c:v>
                </c:pt>
                <c:pt idx="65">
                  <c:v>19.579000000000001</c:v>
                </c:pt>
                <c:pt idx="66">
                  <c:v>24.768000000000001</c:v>
                </c:pt>
                <c:pt idx="67">
                  <c:v>19.841000000000001</c:v>
                </c:pt>
                <c:pt idx="68">
                  <c:v>19.689</c:v>
                </c:pt>
                <c:pt idx="69">
                  <c:v>25.626999999999999</c:v>
                </c:pt>
                <c:pt idx="70">
                  <c:v>16.077000000000002</c:v>
                </c:pt>
                <c:pt idx="71">
                  <c:v>16.64</c:v>
                </c:pt>
                <c:pt idx="72">
                  <c:v>18.363</c:v>
                </c:pt>
                <c:pt idx="73">
                  <c:v>27.838999999999999</c:v>
                </c:pt>
                <c:pt idx="74">
                  <c:v>23.452000000000002</c:v>
                </c:pt>
                <c:pt idx="75">
                  <c:v>18.381</c:v>
                </c:pt>
                <c:pt idx="76">
                  <c:v>18.667000000000002</c:v>
                </c:pt>
                <c:pt idx="77">
                  <c:v>16.806999999999999</c:v>
                </c:pt>
                <c:pt idx="78">
                  <c:v>19.471</c:v>
                </c:pt>
                <c:pt idx="79">
                  <c:v>21.327000000000002</c:v>
                </c:pt>
                <c:pt idx="80">
                  <c:v>17.715</c:v>
                </c:pt>
                <c:pt idx="81">
                  <c:v>17.689</c:v>
                </c:pt>
                <c:pt idx="82">
                  <c:v>18.395</c:v>
                </c:pt>
                <c:pt idx="83">
                  <c:v>16.529</c:v>
                </c:pt>
                <c:pt idx="84">
                  <c:v>15.127000000000001</c:v>
                </c:pt>
                <c:pt idx="85">
                  <c:v>13.64</c:v>
                </c:pt>
                <c:pt idx="86">
                  <c:v>15.927</c:v>
                </c:pt>
                <c:pt idx="87">
                  <c:v>12.019</c:v>
                </c:pt>
                <c:pt idx="88">
                  <c:v>13.013</c:v>
                </c:pt>
                <c:pt idx="89">
                  <c:v>16.321000000000002</c:v>
                </c:pt>
                <c:pt idx="90">
                  <c:v>11.426</c:v>
                </c:pt>
                <c:pt idx="91">
                  <c:v>14.917999999999999</c:v>
                </c:pt>
                <c:pt idx="92">
                  <c:v>12.146000000000001</c:v>
                </c:pt>
                <c:pt idx="93">
                  <c:v>13.853</c:v>
                </c:pt>
                <c:pt idx="94">
                  <c:v>14.778</c:v>
                </c:pt>
                <c:pt idx="95">
                  <c:v>18.765000000000001</c:v>
                </c:pt>
                <c:pt idx="96">
                  <c:v>21.16</c:v>
                </c:pt>
                <c:pt idx="97">
                  <c:v>19.2</c:v>
                </c:pt>
                <c:pt idx="98">
                  <c:v>11.706</c:v>
                </c:pt>
                <c:pt idx="99">
                  <c:v>12.548</c:v>
                </c:pt>
                <c:pt idx="100">
                  <c:v>19.602</c:v>
                </c:pt>
                <c:pt idx="101">
                  <c:v>23.594999999999999</c:v>
                </c:pt>
                <c:pt idx="102">
                  <c:v>15.321</c:v>
                </c:pt>
                <c:pt idx="103">
                  <c:v>17.053000000000001</c:v>
                </c:pt>
                <c:pt idx="104">
                  <c:v>22.736999999999998</c:v>
                </c:pt>
                <c:pt idx="105">
                  <c:v>14.247</c:v>
                </c:pt>
                <c:pt idx="106">
                  <c:v>15.045999999999999</c:v>
                </c:pt>
                <c:pt idx="107">
                  <c:v>26.434999999999999</c:v>
                </c:pt>
                <c:pt idx="108">
                  <c:v>26.756</c:v>
                </c:pt>
                <c:pt idx="109">
                  <c:v>25.308</c:v>
                </c:pt>
                <c:pt idx="110">
                  <c:v>29.898</c:v>
                </c:pt>
                <c:pt idx="111">
                  <c:v>22.992000000000001</c:v>
                </c:pt>
                <c:pt idx="112">
                  <c:v>10.500999999999999</c:v>
                </c:pt>
                <c:pt idx="113">
                  <c:v>11.455</c:v>
                </c:pt>
                <c:pt idx="114">
                  <c:v>25.266999999999999</c:v>
                </c:pt>
                <c:pt idx="115">
                  <c:v>27.672000000000001</c:v>
                </c:pt>
                <c:pt idx="116">
                  <c:v>22.096</c:v>
                </c:pt>
                <c:pt idx="117">
                  <c:v>39.31</c:v>
                </c:pt>
                <c:pt idx="118">
                  <c:v>36.088999999999999</c:v>
                </c:pt>
                <c:pt idx="119">
                  <c:v>32.411000000000001</c:v>
                </c:pt>
                <c:pt idx="120">
                  <c:v>26.805</c:v>
                </c:pt>
                <c:pt idx="121">
                  <c:v>32.036000000000001</c:v>
                </c:pt>
                <c:pt idx="122">
                  <c:v>41.933</c:v>
                </c:pt>
                <c:pt idx="123">
                  <c:v>38.988</c:v>
                </c:pt>
                <c:pt idx="124">
                  <c:v>35.536999999999999</c:v>
                </c:pt>
                <c:pt idx="125">
                  <c:v>29.916</c:v>
                </c:pt>
                <c:pt idx="126">
                  <c:v>28.05</c:v>
                </c:pt>
                <c:pt idx="127">
                  <c:v>23.148</c:v>
                </c:pt>
                <c:pt idx="128">
                  <c:v>22.271999999999998</c:v>
                </c:pt>
                <c:pt idx="129">
                  <c:v>42.768999999999998</c:v>
                </c:pt>
                <c:pt idx="130">
                  <c:v>64.108000000000004</c:v>
                </c:pt>
                <c:pt idx="131">
                  <c:v>61.548999999999999</c:v>
                </c:pt>
                <c:pt idx="132">
                  <c:v>56.347999999999999</c:v>
                </c:pt>
                <c:pt idx="133">
                  <c:v>55.048000000000002</c:v>
                </c:pt>
                <c:pt idx="134">
                  <c:v>54.744</c:v>
                </c:pt>
                <c:pt idx="135">
                  <c:v>55.694000000000003</c:v>
                </c:pt>
                <c:pt idx="136">
                  <c:v>54.719000000000001</c:v>
                </c:pt>
                <c:pt idx="137">
                  <c:v>57.47</c:v>
                </c:pt>
                <c:pt idx="138">
                  <c:v>57.033000000000001</c:v>
                </c:pt>
                <c:pt idx="139">
                  <c:v>30.582000000000001</c:v>
                </c:pt>
                <c:pt idx="140">
                  <c:v>22.292999999999999</c:v>
                </c:pt>
                <c:pt idx="141">
                  <c:v>19.170999999999999</c:v>
                </c:pt>
                <c:pt idx="142">
                  <c:v>25.512</c:v>
                </c:pt>
                <c:pt idx="143">
                  <c:v>50.762999999999998</c:v>
                </c:pt>
                <c:pt idx="144">
                  <c:v>56.622999999999998</c:v>
                </c:pt>
                <c:pt idx="145">
                  <c:v>66.093999999999994</c:v>
                </c:pt>
                <c:pt idx="146">
                  <c:v>57.447000000000003</c:v>
                </c:pt>
                <c:pt idx="147">
                  <c:v>54.783999999999999</c:v>
                </c:pt>
                <c:pt idx="148">
                  <c:v>54.195999999999998</c:v>
                </c:pt>
                <c:pt idx="149">
                  <c:v>55.026000000000003</c:v>
                </c:pt>
                <c:pt idx="150">
                  <c:v>56.872999999999998</c:v>
                </c:pt>
                <c:pt idx="151">
                  <c:v>60.093000000000004</c:v>
                </c:pt>
                <c:pt idx="152">
                  <c:v>62.893000000000001</c:v>
                </c:pt>
                <c:pt idx="153">
                  <c:v>60.472000000000001</c:v>
                </c:pt>
                <c:pt idx="154">
                  <c:v>55.125</c:v>
                </c:pt>
                <c:pt idx="155">
                  <c:v>57.567</c:v>
                </c:pt>
                <c:pt idx="156">
                  <c:v>62.189</c:v>
                </c:pt>
                <c:pt idx="157">
                  <c:v>58.366</c:v>
                </c:pt>
                <c:pt idx="158">
                  <c:v>55.899000000000001</c:v>
                </c:pt>
                <c:pt idx="159">
                  <c:v>51.433</c:v>
                </c:pt>
                <c:pt idx="160">
                  <c:v>51.073</c:v>
                </c:pt>
                <c:pt idx="161">
                  <c:v>50.283999999999999</c:v>
                </c:pt>
                <c:pt idx="162">
                  <c:v>49.223999999999997</c:v>
                </c:pt>
                <c:pt idx="163">
                  <c:v>18.704999999999998</c:v>
                </c:pt>
                <c:pt idx="164">
                  <c:v>13.24</c:v>
                </c:pt>
                <c:pt idx="165">
                  <c:v>23.161000000000001</c:v>
                </c:pt>
                <c:pt idx="166">
                  <c:v>26.32</c:v>
                </c:pt>
                <c:pt idx="167">
                  <c:v>18.439</c:v>
                </c:pt>
                <c:pt idx="168">
                  <c:v>16.827999999999999</c:v>
                </c:pt>
                <c:pt idx="169">
                  <c:v>17.231999999999999</c:v>
                </c:pt>
                <c:pt idx="170">
                  <c:v>21.754000000000001</c:v>
                </c:pt>
                <c:pt idx="171">
                  <c:v>23.684999999999999</c:v>
                </c:pt>
                <c:pt idx="172">
                  <c:v>26.103000000000002</c:v>
                </c:pt>
                <c:pt idx="173">
                  <c:v>31.731999999999999</c:v>
                </c:pt>
                <c:pt idx="174">
                  <c:v>27.783000000000001</c:v>
                </c:pt>
                <c:pt idx="175">
                  <c:v>26.242999999999999</c:v>
                </c:pt>
                <c:pt idx="176">
                  <c:v>26.635999999999999</c:v>
                </c:pt>
                <c:pt idx="177">
                  <c:v>28.66</c:v>
                </c:pt>
                <c:pt idx="178">
                  <c:v>28.466000000000001</c:v>
                </c:pt>
                <c:pt idx="179">
                  <c:v>27.43</c:v>
                </c:pt>
                <c:pt idx="180">
                  <c:v>26.013000000000002</c:v>
                </c:pt>
                <c:pt idx="181">
                  <c:v>26.977</c:v>
                </c:pt>
                <c:pt idx="182">
                  <c:v>29.108000000000001</c:v>
                </c:pt>
                <c:pt idx="183">
                  <c:v>27.353999999999999</c:v>
                </c:pt>
                <c:pt idx="184">
                  <c:v>24.334</c:v>
                </c:pt>
                <c:pt idx="185">
                  <c:v>15.983000000000001</c:v>
                </c:pt>
                <c:pt idx="186">
                  <c:v>15.754</c:v>
                </c:pt>
                <c:pt idx="187">
                  <c:v>16.367999999999999</c:v>
                </c:pt>
                <c:pt idx="188">
                  <c:v>21.526</c:v>
                </c:pt>
                <c:pt idx="189">
                  <c:v>26.196999999999999</c:v>
                </c:pt>
                <c:pt idx="190">
                  <c:v>25.501999999999999</c:v>
                </c:pt>
                <c:pt idx="191">
                  <c:v>26.832000000000001</c:v>
                </c:pt>
                <c:pt idx="192">
                  <c:v>29.19</c:v>
                </c:pt>
                <c:pt idx="193">
                  <c:v>29.263999999999999</c:v>
                </c:pt>
                <c:pt idx="194">
                  <c:v>29.901</c:v>
                </c:pt>
                <c:pt idx="195">
                  <c:v>29.17</c:v>
                </c:pt>
                <c:pt idx="196">
                  <c:v>24.968</c:v>
                </c:pt>
                <c:pt idx="197">
                  <c:v>17.010000000000002</c:v>
                </c:pt>
                <c:pt idx="198">
                  <c:v>28.38</c:v>
                </c:pt>
                <c:pt idx="199">
                  <c:v>28.417999999999999</c:v>
                </c:pt>
                <c:pt idx="200">
                  <c:v>50.088000000000001</c:v>
                </c:pt>
                <c:pt idx="201">
                  <c:v>51.957000000000001</c:v>
                </c:pt>
                <c:pt idx="202">
                  <c:v>50.277999999999999</c:v>
                </c:pt>
                <c:pt idx="203">
                  <c:v>49.793999999999997</c:v>
                </c:pt>
                <c:pt idx="204">
                  <c:v>54.878</c:v>
                </c:pt>
                <c:pt idx="205">
                  <c:v>52.128999999999998</c:v>
                </c:pt>
                <c:pt idx="206">
                  <c:v>55.215000000000003</c:v>
                </c:pt>
                <c:pt idx="207">
                  <c:v>56.473999999999997</c:v>
                </c:pt>
                <c:pt idx="208">
                  <c:v>49.378</c:v>
                </c:pt>
                <c:pt idx="209">
                  <c:v>53.381</c:v>
                </c:pt>
                <c:pt idx="210">
                  <c:v>51.17</c:v>
                </c:pt>
                <c:pt idx="211">
                  <c:v>52.542999999999999</c:v>
                </c:pt>
                <c:pt idx="212">
                  <c:v>52.637999999999998</c:v>
                </c:pt>
                <c:pt idx="213">
                  <c:v>57.329000000000001</c:v>
                </c:pt>
                <c:pt idx="214">
                  <c:v>51.908999999999999</c:v>
                </c:pt>
                <c:pt idx="215">
                  <c:v>52.304000000000002</c:v>
                </c:pt>
                <c:pt idx="216">
                  <c:v>52.68</c:v>
                </c:pt>
                <c:pt idx="217">
                  <c:v>53.777999999999999</c:v>
                </c:pt>
                <c:pt idx="218">
                  <c:v>56.993000000000002</c:v>
                </c:pt>
                <c:pt idx="219">
                  <c:v>53.4</c:v>
                </c:pt>
                <c:pt idx="220">
                  <c:v>51.262999999999998</c:v>
                </c:pt>
                <c:pt idx="221">
                  <c:v>52.841999999999999</c:v>
                </c:pt>
                <c:pt idx="222">
                  <c:v>51.88</c:v>
                </c:pt>
                <c:pt idx="223">
                  <c:v>49.26</c:v>
                </c:pt>
                <c:pt idx="224">
                  <c:v>50.591000000000001</c:v>
                </c:pt>
                <c:pt idx="225">
                  <c:v>51.076999999999998</c:v>
                </c:pt>
                <c:pt idx="226">
                  <c:v>55.234000000000002</c:v>
                </c:pt>
                <c:pt idx="227">
                  <c:v>55.526000000000003</c:v>
                </c:pt>
                <c:pt idx="228">
                  <c:v>55.268000000000001</c:v>
                </c:pt>
                <c:pt idx="229">
                  <c:v>55.844999999999999</c:v>
                </c:pt>
                <c:pt idx="230">
                  <c:v>54.755000000000003</c:v>
                </c:pt>
                <c:pt idx="231">
                  <c:v>52.997999999999998</c:v>
                </c:pt>
                <c:pt idx="232">
                  <c:v>27.242000000000001</c:v>
                </c:pt>
                <c:pt idx="233">
                  <c:v>16.074999999999999</c:v>
                </c:pt>
                <c:pt idx="234">
                  <c:v>21.687000000000001</c:v>
                </c:pt>
                <c:pt idx="235">
                  <c:v>22.692</c:v>
                </c:pt>
                <c:pt idx="236">
                  <c:v>20.257000000000001</c:v>
                </c:pt>
                <c:pt idx="237">
                  <c:v>19.882999999999999</c:v>
                </c:pt>
                <c:pt idx="238">
                  <c:v>13.864000000000001</c:v>
                </c:pt>
                <c:pt idx="239">
                  <c:v>14.721</c:v>
                </c:pt>
                <c:pt idx="240">
                  <c:v>17.523</c:v>
                </c:pt>
                <c:pt idx="241">
                  <c:v>18.882999999999999</c:v>
                </c:pt>
                <c:pt idx="242">
                  <c:v>21.091999999999999</c:v>
                </c:pt>
                <c:pt idx="243">
                  <c:v>22.79</c:v>
                </c:pt>
                <c:pt idx="244">
                  <c:v>20.934000000000001</c:v>
                </c:pt>
                <c:pt idx="245">
                  <c:v>20.079999999999998</c:v>
                </c:pt>
                <c:pt idx="246">
                  <c:v>19.475999999999999</c:v>
                </c:pt>
                <c:pt idx="247">
                  <c:v>23.803999999999998</c:v>
                </c:pt>
                <c:pt idx="248">
                  <c:v>30.928000000000001</c:v>
                </c:pt>
                <c:pt idx="249">
                  <c:v>21.17</c:v>
                </c:pt>
                <c:pt idx="250">
                  <c:v>26.22</c:v>
                </c:pt>
                <c:pt idx="251">
                  <c:v>28.809000000000001</c:v>
                </c:pt>
                <c:pt idx="252">
                  <c:v>22.425000000000001</c:v>
                </c:pt>
                <c:pt idx="253">
                  <c:v>16.181999999999999</c:v>
                </c:pt>
                <c:pt idx="254">
                  <c:v>16.853999999999999</c:v>
                </c:pt>
                <c:pt idx="255">
                  <c:v>20.95</c:v>
                </c:pt>
                <c:pt idx="256">
                  <c:v>22.696000000000002</c:v>
                </c:pt>
                <c:pt idx="257">
                  <c:v>22.460999999999999</c:v>
                </c:pt>
                <c:pt idx="258">
                  <c:v>23.61</c:v>
                </c:pt>
                <c:pt idx="259">
                  <c:v>22.061</c:v>
                </c:pt>
                <c:pt idx="260">
                  <c:v>24.408000000000001</c:v>
                </c:pt>
                <c:pt idx="261">
                  <c:v>27.446999999999999</c:v>
                </c:pt>
                <c:pt idx="262">
                  <c:v>31.065999999999999</c:v>
                </c:pt>
                <c:pt idx="263">
                  <c:v>33.406999999999996</c:v>
                </c:pt>
                <c:pt idx="264">
                  <c:v>30.152000000000001</c:v>
                </c:pt>
                <c:pt idx="265">
                  <c:v>29.986000000000001</c:v>
                </c:pt>
                <c:pt idx="266">
                  <c:v>27.86</c:v>
                </c:pt>
                <c:pt idx="267">
                  <c:v>28.347000000000001</c:v>
                </c:pt>
                <c:pt idx="268">
                  <c:v>32.292000000000002</c:v>
                </c:pt>
                <c:pt idx="269">
                  <c:v>30.821000000000002</c:v>
                </c:pt>
                <c:pt idx="270">
                  <c:v>26.248999999999999</c:v>
                </c:pt>
                <c:pt idx="271">
                  <c:v>25.157</c:v>
                </c:pt>
                <c:pt idx="272">
                  <c:v>19.375</c:v>
                </c:pt>
                <c:pt idx="273">
                  <c:v>18.143000000000001</c:v>
                </c:pt>
                <c:pt idx="274">
                  <c:v>18.869</c:v>
                </c:pt>
                <c:pt idx="275">
                  <c:v>19.515999999999998</c:v>
                </c:pt>
                <c:pt idx="276">
                  <c:v>28.265999999999998</c:v>
                </c:pt>
                <c:pt idx="277">
                  <c:v>28.587</c:v>
                </c:pt>
                <c:pt idx="278">
                  <c:v>21.082000000000001</c:v>
                </c:pt>
                <c:pt idx="279">
                  <c:v>23.175000000000001</c:v>
                </c:pt>
                <c:pt idx="280">
                  <c:v>19.091000000000001</c:v>
                </c:pt>
                <c:pt idx="281">
                  <c:v>21.129000000000001</c:v>
                </c:pt>
                <c:pt idx="282">
                  <c:v>29.689</c:v>
                </c:pt>
                <c:pt idx="283">
                  <c:v>29.824999999999999</c:v>
                </c:pt>
                <c:pt idx="284">
                  <c:v>22.038</c:v>
                </c:pt>
                <c:pt idx="285">
                  <c:v>24.616</c:v>
                </c:pt>
                <c:pt idx="286">
                  <c:v>26.884</c:v>
                </c:pt>
                <c:pt idx="287">
                  <c:v>24.8</c:v>
                </c:pt>
                <c:pt idx="288">
                  <c:v>20.82</c:v>
                </c:pt>
                <c:pt idx="289">
                  <c:v>27.838999999999999</c:v>
                </c:pt>
                <c:pt idx="290">
                  <c:v>26.026</c:v>
                </c:pt>
                <c:pt idx="291">
                  <c:v>21.751000000000001</c:v>
                </c:pt>
                <c:pt idx="292">
                  <c:v>24.527000000000001</c:v>
                </c:pt>
                <c:pt idx="293">
                  <c:v>27.960999999999999</c:v>
                </c:pt>
                <c:pt idx="294">
                  <c:v>18.864000000000001</c:v>
                </c:pt>
                <c:pt idx="295">
                  <c:v>18.190999999999999</c:v>
                </c:pt>
                <c:pt idx="296">
                  <c:v>21.356000000000002</c:v>
                </c:pt>
                <c:pt idx="297">
                  <c:v>24.023</c:v>
                </c:pt>
                <c:pt idx="298">
                  <c:v>23.236000000000001</c:v>
                </c:pt>
                <c:pt idx="299">
                  <c:v>26.716999999999999</c:v>
                </c:pt>
                <c:pt idx="300">
                  <c:v>28.527000000000001</c:v>
                </c:pt>
                <c:pt idx="301">
                  <c:v>25.169</c:v>
                </c:pt>
                <c:pt idx="302">
                  <c:v>19.704000000000001</c:v>
                </c:pt>
                <c:pt idx="303">
                  <c:v>26.663</c:v>
                </c:pt>
                <c:pt idx="304">
                  <c:v>28.992999999999999</c:v>
                </c:pt>
                <c:pt idx="305">
                  <c:v>26.988</c:v>
                </c:pt>
                <c:pt idx="306">
                  <c:v>29.895</c:v>
                </c:pt>
                <c:pt idx="307">
                  <c:v>29.620999999999999</c:v>
                </c:pt>
                <c:pt idx="308">
                  <c:v>23.678999999999998</c:v>
                </c:pt>
                <c:pt idx="309">
                  <c:v>26.18</c:v>
                </c:pt>
                <c:pt idx="310">
                  <c:v>23.992999999999999</c:v>
                </c:pt>
                <c:pt idx="311">
                  <c:v>23.381</c:v>
                </c:pt>
                <c:pt idx="312">
                  <c:v>27.350999999999999</c:v>
                </c:pt>
                <c:pt idx="313">
                  <c:v>22.971</c:v>
                </c:pt>
                <c:pt idx="314">
                  <c:v>25.55</c:v>
                </c:pt>
                <c:pt idx="315">
                  <c:v>18.818000000000001</c:v>
                </c:pt>
                <c:pt idx="316">
                  <c:v>19.149999999999999</c:v>
                </c:pt>
                <c:pt idx="317">
                  <c:v>27.773</c:v>
                </c:pt>
                <c:pt idx="318">
                  <c:v>32</c:v>
                </c:pt>
                <c:pt idx="319">
                  <c:v>26.547000000000001</c:v>
                </c:pt>
                <c:pt idx="320">
                  <c:v>19.896999999999998</c:v>
                </c:pt>
                <c:pt idx="321">
                  <c:v>25.850999999999999</c:v>
                </c:pt>
                <c:pt idx="322">
                  <c:v>17.788</c:v>
                </c:pt>
                <c:pt idx="323">
                  <c:v>15.074</c:v>
                </c:pt>
                <c:pt idx="324">
                  <c:v>19.488</c:v>
                </c:pt>
                <c:pt idx="325">
                  <c:v>14.547000000000001</c:v>
                </c:pt>
                <c:pt idx="326">
                  <c:v>17.390999999999998</c:v>
                </c:pt>
                <c:pt idx="327">
                  <c:v>20.773</c:v>
                </c:pt>
                <c:pt idx="328">
                  <c:v>19.004999999999999</c:v>
                </c:pt>
                <c:pt idx="329">
                  <c:v>14.276</c:v>
                </c:pt>
                <c:pt idx="330">
                  <c:v>14.456</c:v>
                </c:pt>
                <c:pt idx="331">
                  <c:v>16.48</c:v>
                </c:pt>
                <c:pt idx="332">
                  <c:v>16.594999999999999</c:v>
                </c:pt>
                <c:pt idx="333">
                  <c:v>21.198</c:v>
                </c:pt>
                <c:pt idx="334">
                  <c:v>17.210999999999999</c:v>
                </c:pt>
                <c:pt idx="335">
                  <c:v>15.567</c:v>
                </c:pt>
                <c:pt idx="336">
                  <c:v>13.505000000000001</c:v>
                </c:pt>
                <c:pt idx="337">
                  <c:v>14.404</c:v>
                </c:pt>
                <c:pt idx="338">
                  <c:v>16.015000000000001</c:v>
                </c:pt>
                <c:pt idx="339">
                  <c:v>15.087999999999999</c:v>
                </c:pt>
                <c:pt idx="340">
                  <c:v>14.476000000000001</c:v>
                </c:pt>
                <c:pt idx="341">
                  <c:v>14.821</c:v>
                </c:pt>
                <c:pt idx="342">
                  <c:v>12.972</c:v>
                </c:pt>
                <c:pt idx="343">
                  <c:v>14.638</c:v>
                </c:pt>
                <c:pt idx="344">
                  <c:v>16.523</c:v>
                </c:pt>
                <c:pt idx="345">
                  <c:v>18.14</c:v>
                </c:pt>
                <c:pt idx="346">
                  <c:v>18.48</c:v>
                </c:pt>
                <c:pt idx="347">
                  <c:v>17.882000000000001</c:v>
                </c:pt>
                <c:pt idx="348">
                  <c:v>18.800999999999998</c:v>
                </c:pt>
                <c:pt idx="349">
                  <c:v>19.103999999999999</c:v>
                </c:pt>
                <c:pt idx="350">
                  <c:v>16.491</c:v>
                </c:pt>
                <c:pt idx="351">
                  <c:v>17.007000000000001</c:v>
                </c:pt>
                <c:pt idx="352">
                  <c:v>19.175999999999998</c:v>
                </c:pt>
                <c:pt idx="353">
                  <c:v>19.108000000000001</c:v>
                </c:pt>
                <c:pt idx="354">
                  <c:v>19.004000000000001</c:v>
                </c:pt>
                <c:pt idx="355">
                  <c:v>19.366</c:v>
                </c:pt>
                <c:pt idx="356">
                  <c:v>18.306999999999999</c:v>
                </c:pt>
                <c:pt idx="357">
                  <c:v>17.329999999999998</c:v>
                </c:pt>
                <c:pt idx="358">
                  <c:v>16.917999999999999</c:v>
                </c:pt>
                <c:pt idx="359">
                  <c:v>17.914000000000001</c:v>
                </c:pt>
                <c:pt idx="360">
                  <c:v>19.831</c:v>
                </c:pt>
                <c:pt idx="361">
                  <c:v>21.692</c:v>
                </c:pt>
                <c:pt idx="362">
                  <c:v>17.645</c:v>
                </c:pt>
                <c:pt idx="363">
                  <c:v>19.073</c:v>
                </c:pt>
                <c:pt idx="364">
                  <c:v>17.658999999999999</c:v>
                </c:pt>
                <c:pt idx="365">
                  <c:v>18.295999999999999</c:v>
                </c:pt>
                <c:pt idx="366">
                  <c:v>24.489000000000001</c:v>
                </c:pt>
                <c:pt idx="367">
                  <c:v>26.224</c:v>
                </c:pt>
                <c:pt idx="368">
                  <c:v>26.95</c:v>
                </c:pt>
                <c:pt idx="369">
                  <c:v>21.94</c:v>
                </c:pt>
                <c:pt idx="370">
                  <c:v>29.559000000000001</c:v>
                </c:pt>
                <c:pt idx="371">
                  <c:v>20.187000000000001</c:v>
                </c:pt>
                <c:pt idx="372">
                  <c:v>19.417000000000002</c:v>
                </c:pt>
                <c:pt idx="373">
                  <c:v>26.76</c:v>
                </c:pt>
                <c:pt idx="374">
                  <c:v>28.994</c:v>
                </c:pt>
                <c:pt idx="375">
                  <c:v>26.954000000000001</c:v>
                </c:pt>
                <c:pt idx="376">
                  <c:v>31.431999999999999</c:v>
                </c:pt>
                <c:pt idx="377">
                  <c:v>28.347999999999999</c:v>
                </c:pt>
                <c:pt idx="378">
                  <c:v>21.228000000000002</c:v>
                </c:pt>
                <c:pt idx="379">
                  <c:v>20.215</c:v>
                </c:pt>
                <c:pt idx="380">
                  <c:v>32.895000000000003</c:v>
                </c:pt>
                <c:pt idx="381">
                  <c:v>25.622</c:v>
                </c:pt>
                <c:pt idx="382">
                  <c:v>29.356000000000002</c:v>
                </c:pt>
                <c:pt idx="383">
                  <c:v>23.344000000000001</c:v>
                </c:pt>
                <c:pt idx="384">
                  <c:v>22.291</c:v>
                </c:pt>
                <c:pt idx="385">
                  <c:v>20.99</c:v>
                </c:pt>
                <c:pt idx="386">
                  <c:v>23.02</c:v>
                </c:pt>
                <c:pt idx="387">
                  <c:v>28.225999999999999</c:v>
                </c:pt>
                <c:pt idx="388">
                  <c:v>27.669</c:v>
                </c:pt>
                <c:pt idx="389">
                  <c:v>28.268999999999998</c:v>
                </c:pt>
                <c:pt idx="390">
                  <c:v>26.956</c:v>
                </c:pt>
                <c:pt idx="391">
                  <c:v>21.359000000000002</c:v>
                </c:pt>
                <c:pt idx="392">
                  <c:v>22.75</c:v>
                </c:pt>
                <c:pt idx="393">
                  <c:v>25.236000000000001</c:v>
                </c:pt>
                <c:pt idx="394">
                  <c:v>27.713000000000001</c:v>
                </c:pt>
                <c:pt idx="395">
                  <c:v>27.271000000000001</c:v>
                </c:pt>
                <c:pt idx="396">
                  <c:v>28.902999999999999</c:v>
                </c:pt>
                <c:pt idx="397">
                  <c:v>27.004000000000001</c:v>
                </c:pt>
                <c:pt idx="398">
                  <c:v>22.920999999999999</c:v>
                </c:pt>
                <c:pt idx="399">
                  <c:v>28.207999999999998</c:v>
                </c:pt>
                <c:pt idx="400">
                  <c:v>25.146999999999998</c:v>
                </c:pt>
                <c:pt idx="401">
                  <c:v>26.814</c:v>
                </c:pt>
                <c:pt idx="402">
                  <c:v>23.004999999999999</c:v>
                </c:pt>
                <c:pt idx="403">
                  <c:v>23.018000000000001</c:v>
                </c:pt>
                <c:pt idx="404">
                  <c:v>23.411999999999999</c:v>
                </c:pt>
                <c:pt idx="405">
                  <c:v>22.186</c:v>
                </c:pt>
                <c:pt idx="406">
                  <c:v>19.952999999999999</c:v>
                </c:pt>
                <c:pt idx="407">
                  <c:v>20.838000000000001</c:v>
                </c:pt>
                <c:pt idx="408">
                  <c:v>22.285</c:v>
                </c:pt>
                <c:pt idx="409">
                  <c:v>24.655000000000001</c:v>
                </c:pt>
                <c:pt idx="410">
                  <c:v>20.134</c:v>
                </c:pt>
                <c:pt idx="411">
                  <c:v>20.978000000000002</c:v>
                </c:pt>
                <c:pt idx="412">
                  <c:v>20.155000000000001</c:v>
                </c:pt>
                <c:pt idx="413">
                  <c:v>18.981999999999999</c:v>
                </c:pt>
                <c:pt idx="414">
                  <c:v>20.931000000000001</c:v>
                </c:pt>
                <c:pt idx="415">
                  <c:v>20.305</c:v>
                </c:pt>
                <c:pt idx="416">
                  <c:v>23.922000000000001</c:v>
                </c:pt>
                <c:pt idx="417">
                  <c:v>24.731999999999999</c:v>
                </c:pt>
                <c:pt idx="418">
                  <c:v>21.812999999999999</c:v>
                </c:pt>
                <c:pt idx="419">
                  <c:v>18.454999999999998</c:v>
                </c:pt>
                <c:pt idx="420">
                  <c:v>17.914999999999999</c:v>
                </c:pt>
                <c:pt idx="421">
                  <c:v>19.981999999999999</c:v>
                </c:pt>
                <c:pt idx="422">
                  <c:v>21.673999999999999</c:v>
                </c:pt>
                <c:pt idx="423">
                  <c:v>19.748999999999999</c:v>
                </c:pt>
                <c:pt idx="424">
                  <c:v>20.907</c:v>
                </c:pt>
                <c:pt idx="425">
                  <c:v>21.977</c:v>
                </c:pt>
                <c:pt idx="426">
                  <c:v>23.341999999999999</c:v>
                </c:pt>
                <c:pt idx="427">
                  <c:v>17.388000000000002</c:v>
                </c:pt>
                <c:pt idx="428">
                  <c:v>18.576000000000001</c:v>
                </c:pt>
                <c:pt idx="429">
                  <c:v>20.66</c:v>
                </c:pt>
                <c:pt idx="430">
                  <c:v>20.777000000000001</c:v>
                </c:pt>
                <c:pt idx="431">
                  <c:v>20.599</c:v>
                </c:pt>
                <c:pt idx="432">
                  <c:v>18.495999999999999</c:v>
                </c:pt>
                <c:pt idx="433">
                  <c:v>19.463999999999999</c:v>
                </c:pt>
                <c:pt idx="434">
                  <c:v>17.78</c:v>
                </c:pt>
                <c:pt idx="435">
                  <c:v>16.63</c:v>
                </c:pt>
                <c:pt idx="436">
                  <c:v>22.084</c:v>
                </c:pt>
                <c:pt idx="437">
                  <c:v>19.536999999999999</c:v>
                </c:pt>
                <c:pt idx="438">
                  <c:v>19.167999999999999</c:v>
                </c:pt>
                <c:pt idx="439">
                  <c:v>18.933</c:v>
                </c:pt>
                <c:pt idx="440">
                  <c:v>18.895</c:v>
                </c:pt>
                <c:pt idx="441">
                  <c:v>20.667999999999999</c:v>
                </c:pt>
                <c:pt idx="442">
                  <c:v>16.777999999999999</c:v>
                </c:pt>
                <c:pt idx="443">
                  <c:v>21.003</c:v>
                </c:pt>
                <c:pt idx="444">
                  <c:v>26.196999999999999</c:v>
                </c:pt>
                <c:pt idx="445">
                  <c:v>28.216999999999999</c:v>
                </c:pt>
                <c:pt idx="446">
                  <c:v>23.472999999999999</c:v>
                </c:pt>
                <c:pt idx="447">
                  <c:v>30.681999999999999</c:v>
                </c:pt>
                <c:pt idx="448">
                  <c:v>16.41</c:v>
                </c:pt>
                <c:pt idx="449">
                  <c:v>16.207000000000001</c:v>
                </c:pt>
                <c:pt idx="450">
                  <c:v>16.018999999999998</c:v>
                </c:pt>
                <c:pt idx="451">
                  <c:v>13.352</c:v>
                </c:pt>
                <c:pt idx="452">
                  <c:v>12.085000000000001</c:v>
                </c:pt>
                <c:pt idx="453">
                  <c:v>13.041</c:v>
                </c:pt>
                <c:pt idx="454">
                  <c:v>17.062999999999999</c:v>
                </c:pt>
                <c:pt idx="455">
                  <c:v>20.327000000000002</c:v>
                </c:pt>
                <c:pt idx="456">
                  <c:v>21.081</c:v>
                </c:pt>
                <c:pt idx="457">
                  <c:v>30.271000000000001</c:v>
                </c:pt>
                <c:pt idx="458">
                  <c:v>17.606000000000002</c:v>
                </c:pt>
                <c:pt idx="459">
                  <c:v>13.090999999999999</c:v>
                </c:pt>
                <c:pt idx="460">
                  <c:v>18.527000000000001</c:v>
                </c:pt>
                <c:pt idx="461">
                  <c:v>19.366</c:v>
                </c:pt>
                <c:pt idx="462">
                  <c:v>13.1</c:v>
                </c:pt>
                <c:pt idx="463">
                  <c:v>13.833</c:v>
                </c:pt>
                <c:pt idx="464">
                  <c:v>14.786</c:v>
                </c:pt>
                <c:pt idx="465">
                  <c:v>17.670000000000002</c:v>
                </c:pt>
                <c:pt idx="466">
                  <c:v>14.727</c:v>
                </c:pt>
                <c:pt idx="467">
                  <c:v>20.378</c:v>
                </c:pt>
                <c:pt idx="468">
                  <c:v>13.75</c:v>
                </c:pt>
                <c:pt idx="469">
                  <c:v>12.76</c:v>
                </c:pt>
                <c:pt idx="470">
                  <c:v>13.164</c:v>
                </c:pt>
                <c:pt idx="471">
                  <c:v>25.812999999999999</c:v>
                </c:pt>
                <c:pt idx="472">
                  <c:v>17.646999999999998</c:v>
                </c:pt>
                <c:pt idx="473">
                  <c:v>14.57</c:v>
                </c:pt>
                <c:pt idx="474">
                  <c:v>14.936</c:v>
                </c:pt>
                <c:pt idx="475">
                  <c:v>17.542000000000002</c:v>
                </c:pt>
                <c:pt idx="476">
                  <c:v>19.384</c:v>
                </c:pt>
                <c:pt idx="477">
                  <c:v>16.8</c:v>
                </c:pt>
                <c:pt idx="478">
                  <c:v>20.465</c:v>
                </c:pt>
                <c:pt idx="479">
                  <c:v>20.204999999999998</c:v>
                </c:pt>
                <c:pt idx="480">
                  <c:v>18.178999999999998</c:v>
                </c:pt>
                <c:pt idx="481">
                  <c:v>18.818999999999999</c:v>
                </c:pt>
                <c:pt idx="482">
                  <c:v>17.297999999999998</c:v>
                </c:pt>
                <c:pt idx="483">
                  <c:v>16.228999999999999</c:v>
                </c:pt>
                <c:pt idx="484">
                  <c:v>15.615</c:v>
                </c:pt>
                <c:pt idx="485">
                  <c:v>15.114000000000001</c:v>
                </c:pt>
                <c:pt idx="486">
                  <c:v>18.454000000000001</c:v>
                </c:pt>
                <c:pt idx="487">
                  <c:v>18.236999999999998</c:v>
                </c:pt>
                <c:pt idx="488">
                  <c:v>16.898</c:v>
                </c:pt>
                <c:pt idx="489">
                  <c:v>21.137</c:v>
                </c:pt>
                <c:pt idx="490">
                  <c:v>15.907</c:v>
                </c:pt>
                <c:pt idx="491">
                  <c:v>16.785</c:v>
                </c:pt>
                <c:pt idx="492">
                  <c:v>17.805</c:v>
                </c:pt>
                <c:pt idx="493">
                  <c:v>17.28</c:v>
                </c:pt>
                <c:pt idx="494">
                  <c:v>17.555</c:v>
                </c:pt>
                <c:pt idx="495">
                  <c:v>14.787000000000001</c:v>
                </c:pt>
                <c:pt idx="496">
                  <c:v>16.759</c:v>
                </c:pt>
                <c:pt idx="497">
                  <c:v>15.836</c:v>
                </c:pt>
                <c:pt idx="498">
                  <c:v>15.484999999999999</c:v>
                </c:pt>
                <c:pt idx="499">
                  <c:v>17.044</c:v>
                </c:pt>
                <c:pt idx="500">
                  <c:v>17.369</c:v>
                </c:pt>
                <c:pt idx="501">
                  <c:v>17.228999999999999</c:v>
                </c:pt>
                <c:pt idx="502">
                  <c:v>16.111999999999998</c:v>
                </c:pt>
                <c:pt idx="503">
                  <c:v>19.193000000000001</c:v>
                </c:pt>
                <c:pt idx="504">
                  <c:v>15.601000000000001</c:v>
                </c:pt>
                <c:pt idx="505">
                  <c:v>14.518000000000001</c:v>
                </c:pt>
                <c:pt idx="506">
                  <c:v>17.63</c:v>
                </c:pt>
                <c:pt idx="507">
                  <c:v>20.363</c:v>
                </c:pt>
                <c:pt idx="508">
                  <c:v>17.395</c:v>
                </c:pt>
                <c:pt idx="509">
                  <c:v>17.838000000000001</c:v>
                </c:pt>
                <c:pt idx="510">
                  <c:v>12.364000000000001</c:v>
                </c:pt>
                <c:pt idx="511">
                  <c:v>11.066000000000001</c:v>
                </c:pt>
                <c:pt idx="512">
                  <c:v>14.166</c:v>
                </c:pt>
                <c:pt idx="513">
                  <c:v>21.908000000000001</c:v>
                </c:pt>
                <c:pt idx="514">
                  <c:v>20.984999999999999</c:v>
                </c:pt>
                <c:pt idx="515">
                  <c:v>15.239000000000001</c:v>
                </c:pt>
                <c:pt idx="516">
                  <c:v>14.002000000000001</c:v>
                </c:pt>
                <c:pt idx="517">
                  <c:v>12.962999999999999</c:v>
                </c:pt>
                <c:pt idx="518">
                  <c:v>10.315</c:v>
                </c:pt>
                <c:pt idx="519">
                  <c:v>13.863</c:v>
                </c:pt>
                <c:pt idx="520">
                  <c:v>16.545999999999999</c:v>
                </c:pt>
                <c:pt idx="521">
                  <c:v>17.006</c:v>
                </c:pt>
                <c:pt idx="522">
                  <c:v>17.606999999999999</c:v>
                </c:pt>
                <c:pt idx="523">
                  <c:v>17.690999999999999</c:v>
                </c:pt>
                <c:pt idx="524">
                  <c:v>17.263999999999999</c:v>
                </c:pt>
                <c:pt idx="525">
                  <c:v>17.516999999999999</c:v>
                </c:pt>
                <c:pt idx="526">
                  <c:v>13.974</c:v>
                </c:pt>
                <c:pt idx="527">
                  <c:v>14.192</c:v>
                </c:pt>
                <c:pt idx="528">
                  <c:v>15.795</c:v>
                </c:pt>
                <c:pt idx="529">
                  <c:v>15.378</c:v>
                </c:pt>
                <c:pt idx="530">
                  <c:v>18.106999999999999</c:v>
                </c:pt>
                <c:pt idx="531">
                  <c:v>17.587</c:v>
                </c:pt>
                <c:pt idx="532">
                  <c:v>16.632000000000001</c:v>
                </c:pt>
                <c:pt idx="533">
                  <c:v>16.879000000000001</c:v>
                </c:pt>
                <c:pt idx="534">
                  <c:v>18.728000000000002</c:v>
                </c:pt>
                <c:pt idx="535">
                  <c:v>17.972000000000001</c:v>
                </c:pt>
                <c:pt idx="536">
                  <c:v>18.452000000000002</c:v>
                </c:pt>
                <c:pt idx="537">
                  <c:v>17.032</c:v>
                </c:pt>
                <c:pt idx="538">
                  <c:v>15.994</c:v>
                </c:pt>
                <c:pt idx="539">
                  <c:v>13.991</c:v>
                </c:pt>
                <c:pt idx="540">
                  <c:v>16.593</c:v>
                </c:pt>
                <c:pt idx="541">
                  <c:v>18.814</c:v>
                </c:pt>
                <c:pt idx="542">
                  <c:v>18.356999999999999</c:v>
                </c:pt>
                <c:pt idx="543">
                  <c:v>19.045000000000002</c:v>
                </c:pt>
                <c:pt idx="544">
                  <c:v>19.184999999999999</c:v>
                </c:pt>
                <c:pt idx="545">
                  <c:v>19.808</c:v>
                </c:pt>
                <c:pt idx="546">
                  <c:v>16.57</c:v>
                </c:pt>
                <c:pt idx="547">
                  <c:v>16.294</c:v>
                </c:pt>
                <c:pt idx="548">
                  <c:v>17.405999999999999</c:v>
                </c:pt>
                <c:pt idx="549">
                  <c:v>18.600999999999999</c:v>
                </c:pt>
                <c:pt idx="550">
                  <c:v>22.952999999999999</c:v>
                </c:pt>
                <c:pt idx="551">
                  <c:v>22.882999999999999</c:v>
                </c:pt>
                <c:pt idx="552">
                  <c:v>17.382999999999999</c:v>
                </c:pt>
                <c:pt idx="553">
                  <c:v>17.186</c:v>
                </c:pt>
                <c:pt idx="554">
                  <c:v>18.283000000000001</c:v>
                </c:pt>
                <c:pt idx="555">
                  <c:v>23.619</c:v>
                </c:pt>
                <c:pt idx="556">
                  <c:v>21.867999999999999</c:v>
                </c:pt>
                <c:pt idx="557">
                  <c:v>21.74</c:v>
                </c:pt>
                <c:pt idx="558">
                  <c:v>13.840999999999999</c:v>
                </c:pt>
                <c:pt idx="559">
                  <c:v>8.5570000000000004</c:v>
                </c:pt>
                <c:pt idx="560">
                  <c:v>13.586</c:v>
                </c:pt>
                <c:pt idx="561">
                  <c:v>13.792</c:v>
                </c:pt>
                <c:pt idx="562">
                  <c:v>16.013999999999999</c:v>
                </c:pt>
                <c:pt idx="563">
                  <c:v>18.919</c:v>
                </c:pt>
                <c:pt idx="564">
                  <c:v>18.809000000000001</c:v>
                </c:pt>
                <c:pt idx="565">
                  <c:v>18.864999999999998</c:v>
                </c:pt>
                <c:pt idx="566">
                  <c:v>18.971</c:v>
                </c:pt>
                <c:pt idx="567">
                  <c:v>17.616</c:v>
                </c:pt>
                <c:pt idx="568">
                  <c:v>14.938000000000001</c:v>
                </c:pt>
                <c:pt idx="569">
                  <c:v>17.763000000000002</c:v>
                </c:pt>
                <c:pt idx="570">
                  <c:v>19.109000000000002</c:v>
                </c:pt>
                <c:pt idx="571">
                  <c:v>19.053999999999998</c:v>
                </c:pt>
                <c:pt idx="572">
                  <c:v>18.856999999999999</c:v>
                </c:pt>
                <c:pt idx="573">
                  <c:v>18.04</c:v>
                </c:pt>
                <c:pt idx="574">
                  <c:v>16.475000000000001</c:v>
                </c:pt>
                <c:pt idx="575">
                  <c:v>17.661000000000001</c:v>
                </c:pt>
                <c:pt idx="576">
                  <c:v>18.689</c:v>
                </c:pt>
                <c:pt idx="577">
                  <c:v>18.666</c:v>
                </c:pt>
                <c:pt idx="578">
                  <c:v>18.914999999999999</c:v>
                </c:pt>
                <c:pt idx="579">
                  <c:v>18.677</c:v>
                </c:pt>
                <c:pt idx="580">
                  <c:v>16.231000000000002</c:v>
                </c:pt>
                <c:pt idx="581">
                  <c:v>16.777999999999999</c:v>
                </c:pt>
                <c:pt idx="582">
                  <c:v>17.882999999999999</c:v>
                </c:pt>
                <c:pt idx="583">
                  <c:v>20.510999999999999</c:v>
                </c:pt>
                <c:pt idx="584">
                  <c:v>19.649000000000001</c:v>
                </c:pt>
                <c:pt idx="585">
                  <c:v>18.693999999999999</c:v>
                </c:pt>
                <c:pt idx="586">
                  <c:v>19.016999999999999</c:v>
                </c:pt>
                <c:pt idx="587">
                  <c:v>16.891999999999999</c:v>
                </c:pt>
                <c:pt idx="588">
                  <c:v>16.472999999999999</c:v>
                </c:pt>
                <c:pt idx="589">
                  <c:v>15.43</c:v>
                </c:pt>
                <c:pt idx="590">
                  <c:v>19.11</c:v>
                </c:pt>
                <c:pt idx="591">
                  <c:v>19.145</c:v>
                </c:pt>
                <c:pt idx="592">
                  <c:v>19.497</c:v>
                </c:pt>
                <c:pt idx="593">
                  <c:v>20.166</c:v>
                </c:pt>
                <c:pt idx="594">
                  <c:v>21.222999999999999</c:v>
                </c:pt>
                <c:pt idx="595">
                  <c:v>18.504000000000001</c:v>
                </c:pt>
                <c:pt idx="596">
                  <c:v>19.488</c:v>
                </c:pt>
                <c:pt idx="597">
                  <c:v>27.416</c:v>
                </c:pt>
                <c:pt idx="598">
                  <c:v>19.937000000000001</c:v>
                </c:pt>
                <c:pt idx="599">
                  <c:v>18.832999999999998</c:v>
                </c:pt>
                <c:pt idx="600">
                  <c:v>20.516999999999999</c:v>
                </c:pt>
                <c:pt idx="601">
                  <c:v>23.818000000000001</c:v>
                </c:pt>
                <c:pt idx="602">
                  <c:v>17.827000000000002</c:v>
                </c:pt>
                <c:pt idx="603">
                  <c:v>17.454000000000001</c:v>
                </c:pt>
                <c:pt idx="604">
                  <c:v>24.146000000000001</c:v>
                </c:pt>
                <c:pt idx="605">
                  <c:v>25.423999999999999</c:v>
                </c:pt>
                <c:pt idx="606">
                  <c:v>24.914000000000001</c:v>
                </c:pt>
                <c:pt idx="607">
                  <c:v>19.521000000000001</c:v>
                </c:pt>
                <c:pt idx="608">
                  <c:v>20.257999999999999</c:v>
                </c:pt>
                <c:pt idx="609">
                  <c:v>16.239999999999998</c:v>
                </c:pt>
                <c:pt idx="610">
                  <c:v>15.818</c:v>
                </c:pt>
                <c:pt idx="611">
                  <c:v>18.866</c:v>
                </c:pt>
                <c:pt idx="612">
                  <c:v>21.425999999999998</c:v>
                </c:pt>
                <c:pt idx="613">
                  <c:v>22.082000000000001</c:v>
                </c:pt>
                <c:pt idx="614">
                  <c:v>24.707999999999998</c:v>
                </c:pt>
                <c:pt idx="615">
                  <c:v>23.486000000000001</c:v>
                </c:pt>
                <c:pt idx="616">
                  <c:v>22.638000000000002</c:v>
                </c:pt>
                <c:pt idx="617">
                  <c:v>22.888999999999999</c:v>
                </c:pt>
                <c:pt idx="618">
                  <c:v>24.76</c:v>
                </c:pt>
                <c:pt idx="619">
                  <c:v>29.388000000000002</c:v>
                </c:pt>
                <c:pt idx="620">
                  <c:v>29.302</c:v>
                </c:pt>
                <c:pt idx="621">
                  <c:v>29.466999999999999</c:v>
                </c:pt>
                <c:pt idx="622">
                  <c:v>25.34</c:v>
                </c:pt>
                <c:pt idx="623">
                  <c:v>18.324000000000002</c:v>
                </c:pt>
                <c:pt idx="624">
                  <c:v>15.952999999999999</c:v>
                </c:pt>
                <c:pt idx="625">
                  <c:v>18.763999999999999</c:v>
                </c:pt>
                <c:pt idx="626">
                  <c:v>20.547999999999998</c:v>
                </c:pt>
                <c:pt idx="627">
                  <c:v>28.608000000000001</c:v>
                </c:pt>
                <c:pt idx="628">
                  <c:v>24.315000000000001</c:v>
                </c:pt>
                <c:pt idx="629">
                  <c:v>20.059000000000001</c:v>
                </c:pt>
                <c:pt idx="630">
                  <c:v>21.122</c:v>
                </c:pt>
                <c:pt idx="631">
                  <c:v>25.686</c:v>
                </c:pt>
                <c:pt idx="632">
                  <c:v>26.312000000000001</c:v>
                </c:pt>
                <c:pt idx="633">
                  <c:v>22.885000000000002</c:v>
                </c:pt>
                <c:pt idx="634">
                  <c:v>28.675999999999998</c:v>
                </c:pt>
                <c:pt idx="635">
                  <c:v>20.189</c:v>
                </c:pt>
                <c:pt idx="636">
                  <c:v>24.245000000000001</c:v>
                </c:pt>
                <c:pt idx="637">
                  <c:v>22.131</c:v>
                </c:pt>
                <c:pt idx="638">
                  <c:v>20.652000000000001</c:v>
                </c:pt>
                <c:pt idx="639">
                  <c:v>24.706</c:v>
                </c:pt>
                <c:pt idx="640">
                  <c:v>19.48</c:v>
                </c:pt>
                <c:pt idx="641">
                  <c:v>19.504999999999999</c:v>
                </c:pt>
                <c:pt idx="642">
                  <c:v>19.481999999999999</c:v>
                </c:pt>
                <c:pt idx="643">
                  <c:v>19.672000000000001</c:v>
                </c:pt>
                <c:pt idx="644">
                  <c:v>17.617999999999999</c:v>
                </c:pt>
                <c:pt idx="645">
                  <c:v>19.638999999999999</c:v>
                </c:pt>
                <c:pt idx="646">
                  <c:v>27.864999999999998</c:v>
                </c:pt>
                <c:pt idx="647">
                  <c:v>33.725000000000001</c:v>
                </c:pt>
                <c:pt idx="648">
                  <c:v>33.468000000000004</c:v>
                </c:pt>
                <c:pt idx="649">
                  <c:v>27.86</c:v>
                </c:pt>
                <c:pt idx="650">
                  <c:v>29.401</c:v>
                </c:pt>
                <c:pt idx="651">
                  <c:v>30.86</c:v>
                </c:pt>
                <c:pt idx="652">
                  <c:v>24.21</c:v>
                </c:pt>
                <c:pt idx="653">
                  <c:v>26.405000000000001</c:v>
                </c:pt>
                <c:pt idx="654">
                  <c:v>28.585000000000001</c:v>
                </c:pt>
                <c:pt idx="655">
                  <c:v>29.216999999999999</c:v>
                </c:pt>
                <c:pt idx="656">
                  <c:v>35.222000000000001</c:v>
                </c:pt>
                <c:pt idx="657">
                  <c:v>29.431999999999999</c:v>
                </c:pt>
                <c:pt idx="658">
                  <c:v>18.172999999999998</c:v>
                </c:pt>
                <c:pt idx="659">
                  <c:v>17.707000000000001</c:v>
                </c:pt>
                <c:pt idx="660">
                  <c:v>23.795999999999999</c:v>
                </c:pt>
                <c:pt idx="661">
                  <c:v>29.850999999999999</c:v>
                </c:pt>
                <c:pt idx="662">
                  <c:v>30.88</c:v>
                </c:pt>
                <c:pt idx="663">
                  <c:v>32.387999999999998</c:v>
                </c:pt>
                <c:pt idx="664">
                  <c:v>28.181999999999999</c:v>
                </c:pt>
                <c:pt idx="665">
                  <c:v>28.777000000000001</c:v>
                </c:pt>
                <c:pt idx="666">
                  <c:v>22.091000000000001</c:v>
                </c:pt>
                <c:pt idx="667">
                  <c:v>25.167999999999999</c:v>
                </c:pt>
                <c:pt idx="668">
                  <c:v>33.451000000000001</c:v>
                </c:pt>
                <c:pt idx="669">
                  <c:v>28.946000000000002</c:v>
                </c:pt>
                <c:pt idx="670">
                  <c:v>33.082000000000001</c:v>
                </c:pt>
                <c:pt idx="671">
                  <c:v>29.821000000000002</c:v>
                </c:pt>
                <c:pt idx="672">
                  <c:v>21.148</c:v>
                </c:pt>
                <c:pt idx="673">
                  <c:v>23.908000000000001</c:v>
                </c:pt>
                <c:pt idx="674">
                  <c:v>29.622</c:v>
                </c:pt>
                <c:pt idx="675">
                  <c:v>28.004999999999999</c:v>
                </c:pt>
                <c:pt idx="676">
                  <c:v>28.75</c:v>
                </c:pt>
                <c:pt idx="677">
                  <c:v>26.324999999999999</c:v>
                </c:pt>
                <c:pt idx="678">
                  <c:v>28.577000000000002</c:v>
                </c:pt>
                <c:pt idx="679">
                  <c:v>22.074000000000002</c:v>
                </c:pt>
                <c:pt idx="680">
                  <c:v>26.855</c:v>
                </c:pt>
                <c:pt idx="681">
                  <c:v>32.92</c:v>
                </c:pt>
                <c:pt idx="682">
                  <c:v>31.445</c:v>
                </c:pt>
                <c:pt idx="683">
                  <c:v>26.84</c:v>
                </c:pt>
                <c:pt idx="684">
                  <c:v>30.436</c:v>
                </c:pt>
                <c:pt idx="685">
                  <c:v>30.757999999999999</c:v>
                </c:pt>
                <c:pt idx="686">
                  <c:v>28.768000000000001</c:v>
                </c:pt>
                <c:pt idx="687">
                  <c:v>26.062999999999999</c:v>
                </c:pt>
                <c:pt idx="688">
                  <c:v>25.478000000000002</c:v>
                </c:pt>
                <c:pt idx="689">
                  <c:v>19.812000000000001</c:v>
                </c:pt>
                <c:pt idx="690">
                  <c:v>27.507000000000001</c:v>
                </c:pt>
                <c:pt idx="691">
                  <c:v>26.817</c:v>
                </c:pt>
                <c:pt idx="692">
                  <c:v>33.15</c:v>
                </c:pt>
                <c:pt idx="693">
                  <c:v>26.765999999999998</c:v>
                </c:pt>
                <c:pt idx="694">
                  <c:v>21.11</c:v>
                </c:pt>
                <c:pt idx="695">
                  <c:v>33.877000000000002</c:v>
                </c:pt>
                <c:pt idx="696">
                  <c:v>30.443999999999999</c:v>
                </c:pt>
                <c:pt idx="697">
                  <c:v>25.881</c:v>
                </c:pt>
                <c:pt idx="698">
                  <c:v>24.812000000000001</c:v>
                </c:pt>
                <c:pt idx="699">
                  <c:v>21.623000000000001</c:v>
                </c:pt>
                <c:pt idx="700">
                  <c:v>16.963000000000001</c:v>
                </c:pt>
                <c:pt idx="701">
                  <c:v>17.535</c:v>
                </c:pt>
                <c:pt idx="702">
                  <c:v>25.053000000000001</c:v>
                </c:pt>
                <c:pt idx="703">
                  <c:v>24.231000000000002</c:v>
                </c:pt>
                <c:pt idx="704">
                  <c:v>24.152000000000001</c:v>
                </c:pt>
                <c:pt idx="705">
                  <c:v>22.131</c:v>
                </c:pt>
                <c:pt idx="706">
                  <c:v>19.981000000000002</c:v>
                </c:pt>
                <c:pt idx="707">
                  <c:v>17.669</c:v>
                </c:pt>
                <c:pt idx="708">
                  <c:v>20.593</c:v>
                </c:pt>
                <c:pt idx="709">
                  <c:v>20.312000000000001</c:v>
                </c:pt>
                <c:pt idx="710">
                  <c:v>20.213000000000001</c:v>
                </c:pt>
                <c:pt idx="711">
                  <c:v>21.137</c:v>
                </c:pt>
                <c:pt idx="712">
                  <c:v>20.233000000000001</c:v>
                </c:pt>
                <c:pt idx="713">
                  <c:v>18.693000000000001</c:v>
                </c:pt>
                <c:pt idx="714">
                  <c:v>21.077999999999999</c:v>
                </c:pt>
                <c:pt idx="715">
                  <c:v>16.788</c:v>
                </c:pt>
                <c:pt idx="716">
                  <c:v>18.832999999999998</c:v>
                </c:pt>
                <c:pt idx="717">
                  <c:v>22.16</c:v>
                </c:pt>
                <c:pt idx="718">
                  <c:v>18.809000000000001</c:v>
                </c:pt>
                <c:pt idx="719">
                  <c:v>21.407</c:v>
                </c:pt>
                <c:pt idx="720">
                  <c:v>20.715</c:v>
                </c:pt>
                <c:pt idx="721">
                  <c:v>18.702000000000002</c:v>
                </c:pt>
                <c:pt idx="722">
                  <c:v>17.831</c:v>
                </c:pt>
                <c:pt idx="723">
                  <c:v>20.349</c:v>
                </c:pt>
                <c:pt idx="724">
                  <c:v>21.31</c:v>
                </c:pt>
                <c:pt idx="725">
                  <c:v>24.151</c:v>
                </c:pt>
                <c:pt idx="726">
                  <c:v>25.952999999999999</c:v>
                </c:pt>
                <c:pt idx="727">
                  <c:v>26.663</c:v>
                </c:pt>
                <c:pt idx="728">
                  <c:v>22.591999999999999</c:v>
                </c:pt>
                <c:pt idx="729">
                  <c:v>22.37</c:v>
                </c:pt>
                <c:pt idx="730">
                  <c:v>26.571000000000002</c:v>
                </c:pt>
                <c:pt idx="731">
                  <c:v>20.971</c:v>
                </c:pt>
                <c:pt idx="732">
                  <c:v>19.710999999999999</c:v>
                </c:pt>
                <c:pt idx="733">
                  <c:v>20.72</c:v>
                </c:pt>
                <c:pt idx="734">
                  <c:v>18.84</c:v>
                </c:pt>
                <c:pt idx="735">
                  <c:v>18.111999999999998</c:v>
                </c:pt>
                <c:pt idx="736">
                  <c:v>17.317</c:v>
                </c:pt>
                <c:pt idx="737">
                  <c:v>22.616</c:v>
                </c:pt>
                <c:pt idx="738">
                  <c:v>23.137</c:v>
                </c:pt>
                <c:pt idx="739">
                  <c:v>21.387</c:v>
                </c:pt>
                <c:pt idx="740">
                  <c:v>20.353000000000002</c:v>
                </c:pt>
                <c:pt idx="741">
                  <c:v>19.050999999999998</c:v>
                </c:pt>
                <c:pt idx="742">
                  <c:v>17.530999999999999</c:v>
                </c:pt>
                <c:pt idx="743">
                  <c:v>17.960999999999999</c:v>
                </c:pt>
                <c:pt idx="744">
                  <c:v>19.960999999999999</c:v>
                </c:pt>
                <c:pt idx="745">
                  <c:v>20.696000000000002</c:v>
                </c:pt>
                <c:pt idx="746">
                  <c:v>21.991</c:v>
                </c:pt>
                <c:pt idx="747">
                  <c:v>20.346</c:v>
                </c:pt>
                <c:pt idx="748">
                  <c:v>21.716000000000001</c:v>
                </c:pt>
                <c:pt idx="749">
                  <c:v>19.117000000000001</c:v>
                </c:pt>
                <c:pt idx="750">
                  <c:v>18.544</c:v>
                </c:pt>
                <c:pt idx="751">
                  <c:v>21.161000000000001</c:v>
                </c:pt>
                <c:pt idx="752">
                  <c:v>22.792999999999999</c:v>
                </c:pt>
                <c:pt idx="753">
                  <c:v>20.994</c:v>
                </c:pt>
                <c:pt idx="754">
                  <c:v>20.533999999999999</c:v>
                </c:pt>
                <c:pt idx="755">
                  <c:v>21.536000000000001</c:v>
                </c:pt>
                <c:pt idx="756">
                  <c:v>18.239000000000001</c:v>
                </c:pt>
                <c:pt idx="757">
                  <c:v>18.585999999999999</c:v>
                </c:pt>
                <c:pt idx="758">
                  <c:v>21.756</c:v>
                </c:pt>
                <c:pt idx="759">
                  <c:v>26.256</c:v>
                </c:pt>
                <c:pt idx="760">
                  <c:v>26.974</c:v>
                </c:pt>
                <c:pt idx="761">
                  <c:v>22.818000000000001</c:v>
                </c:pt>
                <c:pt idx="762">
                  <c:v>19.417000000000002</c:v>
                </c:pt>
                <c:pt idx="763">
                  <c:v>21.157</c:v>
                </c:pt>
                <c:pt idx="764">
                  <c:v>20.183</c:v>
                </c:pt>
                <c:pt idx="765">
                  <c:v>18.928000000000001</c:v>
                </c:pt>
                <c:pt idx="766">
                  <c:v>16.425000000000001</c:v>
                </c:pt>
                <c:pt idx="767">
                  <c:v>18.056999999999999</c:v>
                </c:pt>
                <c:pt idx="768">
                  <c:v>22.082000000000001</c:v>
                </c:pt>
                <c:pt idx="769">
                  <c:v>18.71</c:v>
                </c:pt>
                <c:pt idx="770">
                  <c:v>13.303000000000001</c:v>
                </c:pt>
                <c:pt idx="771">
                  <c:v>13.762</c:v>
                </c:pt>
                <c:pt idx="772">
                  <c:v>17.106999999999999</c:v>
                </c:pt>
                <c:pt idx="773">
                  <c:v>16.934000000000001</c:v>
                </c:pt>
                <c:pt idx="774">
                  <c:v>15.346</c:v>
                </c:pt>
                <c:pt idx="775">
                  <c:v>13.236000000000001</c:v>
                </c:pt>
                <c:pt idx="776">
                  <c:v>12.69</c:v>
                </c:pt>
                <c:pt idx="777">
                  <c:v>14.487</c:v>
                </c:pt>
                <c:pt idx="778">
                  <c:v>10.837</c:v>
                </c:pt>
                <c:pt idx="779">
                  <c:v>12.025</c:v>
                </c:pt>
                <c:pt idx="780">
                  <c:v>16.260000000000002</c:v>
                </c:pt>
                <c:pt idx="781">
                  <c:v>17.648</c:v>
                </c:pt>
                <c:pt idx="782">
                  <c:v>15.942</c:v>
                </c:pt>
                <c:pt idx="783">
                  <c:v>16.754999999999999</c:v>
                </c:pt>
                <c:pt idx="784">
                  <c:v>15.116</c:v>
                </c:pt>
                <c:pt idx="785">
                  <c:v>14.08</c:v>
                </c:pt>
                <c:pt idx="786">
                  <c:v>14.907999999999999</c:v>
                </c:pt>
                <c:pt idx="787">
                  <c:v>22.4</c:v>
                </c:pt>
                <c:pt idx="788">
                  <c:v>18.013999999999999</c:v>
                </c:pt>
                <c:pt idx="789">
                  <c:v>20.100000000000001</c:v>
                </c:pt>
                <c:pt idx="790">
                  <c:v>20.751999999999999</c:v>
                </c:pt>
                <c:pt idx="791">
                  <c:v>21.908999999999999</c:v>
                </c:pt>
                <c:pt idx="792">
                  <c:v>21.315000000000001</c:v>
                </c:pt>
                <c:pt idx="793">
                  <c:v>20.524000000000001</c:v>
                </c:pt>
                <c:pt idx="794">
                  <c:v>19.266999999999999</c:v>
                </c:pt>
                <c:pt idx="795">
                  <c:v>25.196000000000002</c:v>
                </c:pt>
                <c:pt idx="796">
                  <c:v>22.838000000000001</c:v>
                </c:pt>
                <c:pt idx="797">
                  <c:v>20.968</c:v>
                </c:pt>
                <c:pt idx="798">
                  <c:v>17.844000000000001</c:v>
                </c:pt>
                <c:pt idx="799">
                  <c:v>17.071000000000002</c:v>
                </c:pt>
                <c:pt idx="800">
                  <c:v>18.802</c:v>
                </c:pt>
                <c:pt idx="801">
                  <c:v>18.626000000000001</c:v>
                </c:pt>
                <c:pt idx="802">
                  <c:v>19.492999999999999</c:v>
                </c:pt>
                <c:pt idx="803">
                  <c:v>19.742999999999999</c:v>
                </c:pt>
                <c:pt idx="804">
                  <c:v>19.146999999999998</c:v>
                </c:pt>
                <c:pt idx="805">
                  <c:v>17.675999999999998</c:v>
                </c:pt>
                <c:pt idx="806">
                  <c:v>17.573</c:v>
                </c:pt>
                <c:pt idx="807">
                  <c:v>22.248999999999999</c:v>
                </c:pt>
                <c:pt idx="808">
                  <c:v>23.251000000000001</c:v>
                </c:pt>
                <c:pt idx="809">
                  <c:v>19.486999999999998</c:v>
                </c:pt>
                <c:pt idx="810">
                  <c:v>20.035</c:v>
                </c:pt>
                <c:pt idx="811">
                  <c:v>19.600000000000001</c:v>
                </c:pt>
                <c:pt idx="812">
                  <c:v>17.940999999999999</c:v>
                </c:pt>
                <c:pt idx="813">
                  <c:v>18.128</c:v>
                </c:pt>
                <c:pt idx="814">
                  <c:v>19.335999999999999</c:v>
                </c:pt>
                <c:pt idx="815">
                  <c:v>18.809999999999999</c:v>
                </c:pt>
                <c:pt idx="816">
                  <c:v>16.655999999999999</c:v>
                </c:pt>
                <c:pt idx="817">
                  <c:v>14.351000000000001</c:v>
                </c:pt>
                <c:pt idx="818">
                  <c:v>13.262</c:v>
                </c:pt>
                <c:pt idx="819">
                  <c:v>13.467000000000001</c:v>
                </c:pt>
                <c:pt idx="820">
                  <c:v>13.448</c:v>
                </c:pt>
                <c:pt idx="821">
                  <c:v>14.279</c:v>
                </c:pt>
                <c:pt idx="822">
                  <c:v>14.747</c:v>
                </c:pt>
                <c:pt idx="823">
                  <c:v>15.27</c:v>
                </c:pt>
                <c:pt idx="824">
                  <c:v>14.772</c:v>
                </c:pt>
                <c:pt idx="825">
                  <c:v>12.689</c:v>
                </c:pt>
                <c:pt idx="826">
                  <c:v>14.192</c:v>
                </c:pt>
                <c:pt idx="827">
                  <c:v>14.285</c:v>
                </c:pt>
                <c:pt idx="828">
                  <c:v>17.905000000000001</c:v>
                </c:pt>
                <c:pt idx="829">
                  <c:v>15.43</c:v>
                </c:pt>
                <c:pt idx="830">
                  <c:v>15.747</c:v>
                </c:pt>
                <c:pt idx="831">
                  <c:v>15.554</c:v>
                </c:pt>
                <c:pt idx="832">
                  <c:v>14.227</c:v>
                </c:pt>
                <c:pt idx="833">
                  <c:v>13.856999999999999</c:v>
                </c:pt>
                <c:pt idx="834">
                  <c:v>14.395</c:v>
                </c:pt>
                <c:pt idx="835">
                  <c:v>19.152999999999999</c:v>
                </c:pt>
                <c:pt idx="836">
                  <c:v>15.673999999999999</c:v>
                </c:pt>
                <c:pt idx="837">
                  <c:v>15.446999999999999</c:v>
                </c:pt>
                <c:pt idx="838">
                  <c:v>18.004999999999999</c:v>
                </c:pt>
                <c:pt idx="839">
                  <c:v>15.266999999999999</c:v>
                </c:pt>
                <c:pt idx="840">
                  <c:v>14.026</c:v>
                </c:pt>
                <c:pt idx="841">
                  <c:v>14.295</c:v>
                </c:pt>
                <c:pt idx="842">
                  <c:v>17.062999999999999</c:v>
                </c:pt>
                <c:pt idx="843">
                  <c:v>18.48</c:v>
                </c:pt>
                <c:pt idx="844">
                  <c:v>18.074000000000002</c:v>
                </c:pt>
                <c:pt idx="845">
                  <c:v>17.989000000000001</c:v>
                </c:pt>
                <c:pt idx="846">
                  <c:v>17.122</c:v>
                </c:pt>
                <c:pt idx="847">
                  <c:v>15.101000000000001</c:v>
                </c:pt>
                <c:pt idx="848">
                  <c:v>16.681000000000001</c:v>
                </c:pt>
                <c:pt idx="849">
                  <c:v>27.62</c:v>
                </c:pt>
                <c:pt idx="850">
                  <c:v>17.533999999999999</c:v>
                </c:pt>
                <c:pt idx="851">
                  <c:v>17.969000000000001</c:v>
                </c:pt>
                <c:pt idx="852">
                  <c:v>19.22</c:v>
                </c:pt>
                <c:pt idx="853">
                  <c:v>19.347000000000001</c:v>
                </c:pt>
                <c:pt idx="854">
                  <c:v>16.585999999999999</c:v>
                </c:pt>
                <c:pt idx="855">
                  <c:v>17.428999999999998</c:v>
                </c:pt>
                <c:pt idx="856">
                  <c:v>20.928999999999998</c:v>
                </c:pt>
                <c:pt idx="857">
                  <c:v>20.134</c:v>
                </c:pt>
                <c:pt idx="858">
                  <c:v>19.027999999999999</c:v>
                </c:pt>
                <c:pt idx="859">
                  <c:v>17.718</c:v>
                </c:pt>
                <c:pt idx="860">
                  <c:v>17.210999999999999</c:v>
                </c:pt>
                <c:pt idx="861">
                  <c:v>15.798</c:v>
                </c:pt>
                <c:pt idx="862">
                  <c:v>15.106</c:v>
                </c:pt>
                <c:pt idx="863">
                  <c:v>15.821</c:v>
                </c:pt>
                <c:pt idx="864">
                  <c:v>18.821000000000002</c:v>
                </c:pt>
                <c:pt idx="865">
                  <c:v>17.905000000000001</c:v>
                </c:pt>
                <c:pt idx="866">
                  <c:v>17.876999999999999</c:v>
                </c:pt>
                <c:pt idx="867">
                  <c:v>17.940000000000001</c:v>
                </c:pt>
                <c:pt idx="868">
                  <c:v>16.516999999999999</c:v>
                </c:pt>
                <c:pt idx="869">
                  <c:v>16.936</c:v>
                </c:pt>
                <c:pt idx="870">
                  <c:v>18.43</c:v>
                </c:pt>
                <c:pt idx="871">
                  <c:v>18.721</c:v>
                </c:pt>
                <c:pt idx="872">
                  <c:v>17.779</c:v>
                </c:pt>
                <c:pt idx="873">
                  <c:v>15.371</c:v>
                </c:pt>
                <c:pt idx="874">
                  <c:v>17.497</c:v>
                </c:pt>
                <c:pt idx="875">
                  <c:v>16.004999999999999</c:v>
                </c:pt>
                <c:pt idx="876">
                  <c:v>16.869</c:v>
                </c:pt>
                <c:pt idx="877">
                  <c:v>18.510999999999999</c:v>
                </c:pt>
                <c:pt idx="878">
                  <c:v>18.875</c:v>
                </c:pt>
                <c:pt idx="879">
                  <c:v>18.7</c:v>
                </c:pt>
                <c:pt idx="880">
                  <c:v>18.503</c:v>
                </c:pt>
                <c:pt idx="881">
                  <c:v>17.510000000000002</c:v>
                </c:pt>
                <c:pt idx="882">
                  <c:v>16.777999999999999</c:v>
                </c:pt>
                <c:pt idx="883">
                  <c:v>15.617000000000001</c:v>
                </c:pt>
                <c:pt idx="884">
                  <c:v>17.128</c:v>
                </c:pt>
                <c:pt idx="885">
                  <c:v>21.826000000000001</c:v>
                </c:pt>
                <c:pt idx="886">
                  <c:v>18.495999999999999</c:v>
                </c:pt>
                <c:pt idx="887">
                  <c:v>19.475999999999999</c:v>
                </c:pt>
                <c:pt idx="888">
                  <c:v>18.018999999999998</c:v>
                </c:pt>
                <c:pt idx="889">
                  <c:v>17.187000000000001</c:v>
                </c:pt>
                <c:pt idx="890">
                  <c:v>16.484999999999999</c:v>
                </c:pt>
                <c:pt idx="891">
                  <c:v>17.308</c:v>
                </c:pt>
                <c:pt idx="892">
                  <c:v>18.103999999999999</c:v>
                </c:pt>
                <c:pt idx="893">
                  <c:v>19.033999999999999</c:v>
                </c:pt>
                <c:pt idx="894">
                  <c:v>18.651</c:v>
                </c:pt>
                <c:pt idx="895">
                  <c:v>16.425000000000001</c:v>
                </c:pt>
                <c:pt idx="896">
                  <c:v>15.907999999999999</c:v>
                </c:pt>
                <c:pt idx="897">
                  <c:v>15.084</c:v>
                </c:pt>
                <c:pt idx="898">
                  <c:v>13.928000000000001</c:v>
                </c:pt>
                <c:pt idx="899">
                  <c:v>14.452</c:v>
                </c:pt>
                <c:pt idx="900">
                  <c:v>14.13</c:v>
                </c:pt>
                <c:pt idx="901">
                  <c:v>17.114000000000001</c:v>
                </c:pt>
                <c:pt idx="902">
                  <c:v>17.292000000000002</c:v>
                </c:pt>
                <c:pt idx="903">
                  <c:v>17.384</c:v>
                </c:pt>
                <c:pt idx="904">
                  <c:v>15.849</c:v>
                </c:pt>
                <c:pt idx="905">
                  <c:v>17.716000000000001</c:v>
                </c:pt>
                <c:pt idx="906">
                  <c:v>18.940000000000001</c:v>
                </c:pt>
                <c:pt idx="907">
                  <c:v>18.835000000000001</c:v>
                </c:pt>
                <c:pt idx="908">
                  <c:v>19.335000000000001</c:v>
                </c:pt>
                <c:pt idx="909">
                  <c:v>18.105</c:v>
                </c:pt>
                <c:pt idx="910">
                  <c:v>17.181000000000001</c:v>
                </c:pt>
                <c:pt idx="911">
                  <c:v>17.425000000000001</c:v>
                </c:pt>
                <c:pt idx="912">
                  <c:v>19.873999999999999</c:v>
                </c:pt>
                <c:pt idx="913">
                  <c:v>19.234999999999999</c:v>
                </c:pt>
                <c:pt idx="914">
                  <c:v>19.251999999999999</c:v>
                </c:pt>
                <c:pt idx="915">
                  <c:v>18.34</c:v>
                </c:pt>
                <c:pt idx="916">
                  <c:v>17.145</c:v>
                </c:pt>
                <c:pt idx="917">
                  <c:v>16.920000000000002</c:v>
                </c:pt>
                <c:pt idx="918">
                  <c:v>16.971</c:v>
                </c:pt>
                <c:pt idx="919">
                  <c:v>18.006</c:v>
                </c:pt>
                <c:pt idx="920">
                  <c:v>19.306999999999999</c:v>
                </c:pt>
                <c:pt idx="921">
                  <c:v>20.997</c:v>
                </c:pt>
                <c:pt idx="922">
                  <c:v>20.132000000000001</c:v>
                </c:pt>
                <c:pt idx="923">
                  <c:v>19.324999999999999</c:v>
                </c:pt>
                <c:pt idx="924">
                  <c:v>17.448</c:v>
                </c:pt>
                <c:pt idx="925">
                  <c:v>18.298999999999999</c:v>
                </c:pt>
                <c:pt idx="926">
                  <c:v>21.029</c:v>
                </c:pt>
                <c:pt idx="927">
                  <c:v>19.962</c:v>
                </c:pt>
                <c:pt idx="928">
                  <c:v>20.940999999999999</c:v>
                </c:pt>
                <c:pt idx="929">
                  <c:v>20.704999999999998</c:v>
                </c:pt>
                <c:pt idx="930">
                  <c:v>19.57</c:v>
                </c:pt>
                <c:pt idx="931">
                  <c:v>17.821000000000002</c:v>
                </c:pt>
                <c:pt idx="932">
                  <c:v>17.721</c:v>
                </c:pt>
                <c:pt idx="933">
                  <c:v>20.68</c:v>
                </c:pt>
                <c:pt idx="934">
                  <c:v>21.495000000000001</c:v>
                </c:pt>
                <c:pt idx="935">
                  <c:v>26.173999999999999</c:v>
                </c:pt>
                <c:pt idx="936">
                  <c:v>21.207999999999998</c:v>
                </c:pt>
                <c:pt idx="937">
                  <c:v>20.367999999999999</c:v>
                </c:pt>
                <c:pt idx="938">
                  <c:v>18.725999999999999</c:v>
                </c:pt>
                <c:pt idx="939">
                  <c:v>18.658000000000001</c:v>
                </c:pt>
                <c:pt idx="940">
                  <c:v>19.547999999999998</c:v>
                </c:pt>
                <c:pt idx="941">
                  <c:v>23.943000000000001</c:v>
                </c:pt>
                <c:pt idx="942">
                  <c:v>21.344999999999999</c:v>
                </c:pt>
                <c:pt idx="943">
                  <c:v>24.117999999999999</c:v>
                </c:pt>
                <c:pt idx="944">
                  <c:v>21.562000000000001</c:v>
                </c:pt>
                <c:pt idx="945">
                  <c:v>17.529</c:v>
                </c:pt>
                <c:pt idx="946">
                  <c:v>18.917000000000002</c:v>
                </c:pt>
                <c:pt idx="947">
                  <c:v>20.170999999999999</c:v>
                </c:pt>
                <c:pt idx="948">
                  <c:v>23.568999999999999</c:v>
                </c:pt>
                <c:pt idx="949">
                  <c:v>22.594000000000001</c:v>
                </c:pt>
                <c:pt idx="950">
                  <c:v>22.443999999999999</c:v>
                </c:pt>
                <c:pt idx="951">
                  <c:v>22.117000000000001</c:v>
                </c:pt>
                <c:pt idx="952">
                  <c:v>21.587</c:v>
                </c:pt>
                <c:pt idx="953">
                  <c:v>18.582999999999998</c:v>
                </c:pt>
                <c:pt idx="954">
                  <c:v>20.835000000000001</c:v>
                </c:pt>
                <c:pt idx="955">
                  <c:v>24.574000000000002</c:v>
                </c:pt>
                <c:pt idx="956">
                  <c:v>28.74</c:v>
                </c:pt>
                <c:pt idx="957">
                  <c:v>21.442</c:v>
                </c:pt>
                <c:pt idx="958">
                  <c:v>20.751999999999999</c:v>
                </c:pt>
                <c:pt idx="959">
                  <c:v>19.152000000000001</c:v>
                </c:pt>
                <c:pt idx="960">
                  <c:v>19.184999999999999</c:v>
                </c:pt>
                <c:pt idx="961">
                  <c:v>30.553000000000001</c:v>
                </c:pt>
                <c:pt idx="962">
                  <c:v>30.263000000000002</c:v>
                </c:pt>
                <c:pt idx="963">
                  <c:v>20.388000000000002</c:v>
                </c:pt>
                <c:pt idx="964">
                  <c:v>27.664999999999999</c:v>
                </c:pt>
                <c:pt idx="965">
                  <c:v>30.035</c:v>
                </c:pt>
                <c:pt idx="966">
                  <c:v>18.408000000000001</c:v>
                </c:pt>
                <c:pt idx="967">
                  <c:v>19.216000000000001</c:v>
                </c:pt>
                <c:pt idx="968">
                  <c:v>19.446000000000002</c:v>
                </c:pt>
                <c:pt idx="969">
                  <c:v>21.018999999999998</c:v>
                </c:pt>
                <c:pt idx="970">
                  <c:v>24.111999999999998</c:v>
                </c:pt>
                <c:pt idx="971">
                  <c:v>22.387</c:v>
                </c:pt>
                <c:pt idx="972">
                  <c:v>25.795999999999999</c:v>
                </c:pt>
                <c:pt idx="973">
                  <c:v>22.734999999999999</c:v>
                </c:pt>
                <c:pt idx="974">
                  <c:v>23.568000000000001</c:v>
                </c:pt>
                <c:pt idx="975">
                  <c:v>25.957999999999998</c:v>
                </c:pt>
                <c:pt idx="976">
                  <c:v>25.292999999999999</c:v>
                </c:pt>
                <c:pt idx="977">
                  <c:v>24.898</c:v>
                </c:pt>
                <c:pt idx="978">
                  <c:v>21.34</c:v>
                </c:pt>
                <c:pt idx="979">
                  <c:v>21.707000000000001</c:v>
                </c:pt>
                <c:pt idx="980">
                  <c:v>19.071999999999999</c:v>
                </c:pt>
                <c:pt idx="981">
                  <c:v>19.231000000000002</c:v>
                </c:pt>
                <c:pt idx="982">
                  <c:v>21.248999999999999</c:v>
                </c:pt>
                <c:pt idx="983">
                  <c:v>23.120999999999999</c:v>
                </c:pt>
                <c:pt idx="984">
                  <c:v>24.949000000000002</c:v>
                </c:pt>
                <c:pt idx="985">
                  <c:v>21.167999999999999</c:v>
                </c:pt>
                <c:pt idx="986">
                  <c:v>18.97</c:v>
                </c:pt>
                <c:pt idx="987">
                  <c:v>16.03</c:v>
                </c:pt>
                <c:pt idx="988">
                  <c:v>15.141999999999999</c:v>
                </c:pt>
                <c:pt idx="989">
                  <c:v>16.190000000000001</c:v>
                </c:pt>
                <c:pt idx="990">
                  <c:v>18.829000000000001</c:v>
                </c:pt>
                <c:pt idx="991">
                  <c:v>23.513999999999999</c:v>
                </c:pt>
                <c:pt idx="992">
                  <c:v>24.209</c:v>
                </c:pt>
                <c:pt idx="993">
                  <c:v>23.347999999999999</c:v>
                </c:pt>
                <c:pt idx="994">
                  <c:v>20.753</c:v>
                </c:pt>
                <c:pt idx="995">
                  <c:v>24.751000000000001</c:v>
                </c:pt>
                <c:pt idx="996">
                  <c:v>29.198</c:v>
                </c:pt>
                <c:pt idx="997">
                  <c:v>26.18</c:v>
                </c:pt>
                <c:pt idx="998">
                  <c:v>21.120999999999999</c:v>
                </c:pt>
                <c:pt idx="999">
                  <c:v>22.567</c:v>
                </c:pt>
                <c:pt idx="1000">
                  <c:v>28.577999999999999</c:v>
                </c:pt>
                <c:pt idx="1001">
                  <c:v>18.991</c:v>
                </c:pt>
                <c:pt idx="1002">
                  <c:v>29.77</c:v>
                </c:pt>
                <c:pt idx="1003">
                  <c:v>28.754000000000001</c:v>
                </c:pt>
                <c:pt idx="1004">
                  <c:v>24.248999999999999</c:v>
                </c:pt>
                <c:pt idx="1005">
                  <c:v>21.291</c:v>
                </c:pt>
                <c:pt idx="1006">
                  <c:v>23.341999999999999</c:v>
                </c:pt>
              </c:numCache>
            </c:numRef>
          </c:val>
          <c:smooth val="0"/>
          <c:extLst>
            <c:ext xmlns:c16="http://schemas.microsoft.com/office/drawing/2014/chart" uri="{C3380CC4-5D6E-409C-BE32-E72D297353CC}">
              <c16:uniqueId val="{00000000-BDDB-4AA1-B9FD-DC26D7414A12}"/>
            </c:ext>
          </c:extLst>
        </c:ser>
        <c:dLbls>
          <c:showLegendKey val="0"/>
          <c:showVal val="0"/>
          <c:showCatName val="0"/>
          <c:showSerName val="0"/>
          <c:showPercent val="0"/>
          <c:showBubbleSize val="0"/>
        </c:dLbls>
        <c:smooth val="0"/>
        <c:axId val="1825760208"/>
        <c:axId val="1827773216"/>
      </c:lineChart>
      <c:dateAx>
        <c:axId val="1825760208"/>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7773216"/>
        <c:crosses val="autoZero"/>
        <c:auto val="1"/>
        <c:lblOffset val="100"/>
        <c:baseTimeUnit val="days"/>
        <c:majorUnit val="6"/>
        <c:majorTimeUnit val="months"/>
      </c:dateAx>
      <c:valAx>
        <c:axId val="1827773216"/>
        <c:scaling>
          <c:orientation val="minMax"/>
          <c:max val="130"/>
          <c:min val="0"/>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57602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5">
                <a:lumMod val="60000"/>
                <a:lumOff val="40000"/>
              </a:schemeClr>
            </a:solidFill>
            <a:ln>
              <a:noFill/>
            </a:ln>
            <a:effectLst/>
          </c:spPr>
          <c:invertIfNegative val="0"/>
          <c:dPt>
            <c:idx val="3"/>
            <c:invertIfNegative val="0"/>
            <c:bubble3D val="0"/>
            <c:spPr>
              <a:solidFill>
                <a:schemeClr val="accent1"/>
              </a:solidFill>
              <a:ln>
                <a:noFill/>
              </a:ln>
              <a:effectLst/>
            </c:spPr>
            <c:extLst>
              <c:ext xmlns:c16="http://schemas.microsoft.com/office/drawing/2014/chart" uri="{C3380CC4-5D6E-409C-BE32-E72D297353CC}">
                <c16:uniqueId val="{00000001-7CF8-42AC-9007-D1487914F442}"/>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3-7CF8-42AC-9007-D1487914F442}"/>
              </c:ext>
            </c:extLst>
          </c:dPt>
          <c:cat>
            <c:strRef>
              <c:f>'Bill comparison'!$A$3:$A$10</c:f>
              <c:strCache>
                <c:ptCount val="8"/>
                <c:pt idx="0">
                  <c:v>ACT</c:v>
                </c:pt>
                <c:pt idx="1">
                  <c:v>SA</c:v>
                </c:pt>
                <c:pt idx="2">
                  <c:v>QLD</c:v>
                </c:pt>
                <c:pt idx="3">
                  <c:v>Aurora Energy</c:v>
                </c:pt>
                <c:pt idx="4">
                  <c:v>Tas Gas</c:v>
                </c:pt>
                <c:pt idx="5">
                  <c:v>WA</c:v>
                </c:pt>
                <c:pt idx="6">
                  <c:v>NSW</c:v>
                </c:pt>
                <c:pt idx="7">
                  <c:v>Vic</c:v>
                </c:pt>
              </c:strCache>
            </c:strRef>
          </c:cat>
          <c:val>
            <c:numRef>
              <c:f>'Bill comparison'!$B$3:$B$10</c:f>
              <c:numCache>
                <c:formatCode>_-"$"* #,##0_-;\-"$"* #,##0_-;_-"$"* "-"??_-;_-@_-</c:formatCode>
                <c:ptCount val="8"/>
                <c:pt idx="0">
                  <c:v>1286</c:v>
                </c:pt>
                <c:pt idx="1">
                  <c:v>1408</c:v>
                </c:pt>
                <c:pt idx="2">
                  <c:v>1445</c:v>
                </c:pt>
                <c:pt idx="3">
                  <c:v>1407</c:v>
                </c:pt>
                <c:pt idx="4">
                  <c:v>1398</c:v>
                </c:pt>
                <c:pt idx="5">
                  <c:v>1239</c:v>
                </c:pt>
                <c:pt idx="6">
                  <c:v>1096</c:v>
                </c:pt>
                <c:pt idx="7">
                  <c:v>1040</c:v>
                </c:pt>
              </c:numCache>
            </c:numRef>
          </c:val>
          <c:extLst>
            <c:ext xmlns:c16="http://schemas.microsoft.com/office/drawing/2014/chart" uri="{C3380CC4-5D6E-409C-BE32-E72D297353CC}">
              <c16:uniqueId val="{00000004-7CF8-42AC-9007-D1487914F442}"/>
            </c:ext>
          </c:extLst>
        </c:ser>
        <c:dLbls>
          <c:showLegendKey val="0"/>
          <c:showVal val="0"/>
          <c:showCatName val="0"/>
          <c:showSerName val="0"/>
          <c:showPercent val="0"/>
          <c:showBubbleSize val="0"/>
        </c:dLbls>
        <c:gapWidth val="219"/>
        <c:overlap val="-27"/>
        <c:axId val="2088404751"/>
        <c:axId val="2088400591"/>
      </c:barChart>
      <c:catAx>
        <c:axId val="20884047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8400591"/>
        <c:crosses val="autoZero"/>
        <c:auto val="1"/>
        <c:lblAlgn val="ctr"/>
        <c:lblOffset val="100"/>
        <c:noMultiLvlLbl val="0"/>
      </c:catAx>
      <c:valAx>
        <c:axId val="2088400591"/>
        <c:scaling>
          <c:orientation val="minMax"/>
          <c:min val="800"/>
        </c:scaling>
        <c:delete val="0"/>
        <c:axPos val="l"/>
        <c:majorGridlines>
          <c:spPr>
            <a:ln w="9525" cap="flat" cmpd="sng" algn="ctr">
              <a:solidFill>
                <a:schemeClr val="tx1">
                  <a:lumMod val="15000"/>
                  <a:lumOff val="85000"/>
                </a:schemeClr>
              </a:solidFill>
              <a:round/>
            </a:ln>
            <a:effectLst/>
          </c:spPr>
        </c:majorGridlines>
        <c:numFmt formatCode="_-&quot;$&quot;* #,##0_-;\-&quot;$&quot;* #,##0_-;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8404751"/>
        <c:crosses val="autoZero"/>
        <c:crossBetween val="between"/>
        <c:majorUnit val="1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5">
                <a:lumMod val="60000"/>
                <a:lumOff val="40000"/>
              </a:schemeClr>
            </a:solidFill>
            <a:ln>
              <a:noFill/>
            </a:ln>
            <a:effectLst/>
          </c:spPr>
          <c:invertIfNegative val="0"/>
          <c:dPt>
            <c:idx val="3"/>
            <c:invertIfNegative val="0"/>
            <c:bubble3D val="0"/>
            <c:spPr>
              <a:solidFill>
                <a:schemeClr val="accent1"/>
              </a:solidFill>
              <a:ln>
                <a:noFill/>
              </a:ln>
              <a:effectLst/>
            </c:spPr>
            <c:extLst>
              <c:ext xmlns:c16="http://schemas.microsoft.com/office/drawing/2014/chart" uri="{C3380CC4-5D6E-409C-BE32-E72D297353CC}">
                <c16:uniqueId val="{00000001-175E-45BD-A846-825B8DA5FF82}"/>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3-175E-45BD-A846-825B8DA5FF82}"/>
              </c:ext>
            </c:extLst>
          </c:dPt>
          <c:cat>
            <c:strRef>
              <c:f>'Bill comparison'!$A$15:$A$22</c:f>
              <c:strCache>
                <c:ptCount val="8"/>
                <c:pt idx="0">
                  <c:v>ACT</c:v>
                </c:pt>
                <c:pt idx="1">
                  <c:v>SA</c:v>
                </c:pt>
                <c:pt idx="2">
                  <c:v>QLD</c:v>
                </c:pt>
                <c:pt idx="3">
                  <c:v>Aurora Energy</c:v>
                </c:pt>
                <c:pt idx="4">
                  <c:v>Tas Gas</c:v>
                </c:pt>
                <c:pt idx="5">
                  <c:v>WA</c:v>
                </c:pt>
                <c:pt idx="6">
                  <c:v>NSW</c:v>
                </c:pt>
                <c:pt idx="7">
                  <c:v>Vic</c:v>
                </c:pt>
              </c:strCache>
            </c:strRef>
          </c:cat>
          <c:val>
            <c:numRef>
              <c:f>'Bill comparison'!$B$15:$B$22</c:f>
              <c:numCache>
                <c:formatCode>_-"$"* #,##0_-;\-"$"* #,##0_-;_-"$"* "-"??_-;_-@_-</c:formatCode>
                <c:ptCount val="8"/>
                <c:pt idx="0">
                  <c:v>13881</c:v>
                </c:pt>
                <c:pt idx="1">
                  <c:v>14701</c:v>
                </c:pt>
                <c:pt idx="2">
                  <c:v>16641</c:v>
                </c:pt>
                <c:pt idx="3">
                  <c:v>20782</c:v>
                </c:pt>
                <c:pt idx="4">
                  <c:v>20251</c:v>
                </c:pt>
                <c:pt idx="5">
                  <c:v>16142</c:v>
                </c:pt>
                <c:pt idx="6">
                  <c:v>11325</c:v>
                </c:pt>
                <c:pt idx="7">
                  <c:v>10191</c:v>
                </c:pt>
              </c:numCache>
            </c:numRef>
          </c:val>
          <c:extLst>
            <c:ext xmlns:c16="http://schemas.microsoft.com/office/drawing/2014/chart" uri="{C3380CC4-5D6E-409C-BE32-E72D297353CC}">
              <c16:uniqueId val="{00000004-175E-45BD-A846-825B8DA5FF82}"/>
            </c:ext>
          </c:extLst>
        </c:ser>
        <c:dLbls>
          <c:showLegendKey val="0"/>
          <c:showVal val="0"/>
          <c:showCatName val="0"/>
          <c:showSerName val="0"/>
          <c:showPercent val="0"/>
          <c:showBubbleSize val="0"/>
        </c:dLbls>
        <c:gapWidth val="219"/>
        <c:overlap val="-27"/>
        <c:axId val="2007326927"/>
        <c:axId val="2007331087"/>
      </c:barChart>
      <c:catAx>
        <c:axId val="2007326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7331087"/>
        <c:crosses val="autoZero"/>
        <c:auto val="1"/>
        <c:lblAlgn val="ctr"/>
        <c:lblOffset val="100"/>
        <c:noMultiLvlLbl val="0"/>
      </c:catAx>
      <c:valAx>
        <c:axId val="2007331087"/>
        <c:scaling>
          <c:orientation val="minMax"/>
          <c:min val="7500"/>
        </c:scaling>
        <c:delete val="0"/>
        <c:axPos val="l"/>
        <c:majorGridlines>
          <c:spPr>
            <a:ln w="9525" cap="flat" cmpd="sng" algn="ctr">
              <a:solidFill>
                <a:schemeClr val="tx1">
                  <a:lumMod val="15000"/>
                  <a:lumOff val="85000"/>
                </a:schemeClr>
              </a:solidFill>
              <a:round/>
            </a:ln>
            <a:effectLst/>
          </c:spPr>
        </c:majorGridlines>
        <c:numFmt formatCode="_-&quot;$&quot;* #,##0_-;\-&quot;$&quot;* #,##0_-;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73269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CCD7B-D0B8-2542-A04D-08F07B23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5261</Words>
  <Characters>28520</Characters>
  <Application>Microsoft Office Word</Application>
  <DocSecurity>0</DocSecurity>
  <Lines>594</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Oakenfull</dc:creator>
  <cp:keywords/>
  <dc:description/>
  <cp:lastModifiedBy>James, Sharon</cp:lastModifiedBy>
  <cp:revision>2</cp:revision>
  <cp:lastPrinted>2021-08-19T07:27:00Z</cp:lastPrinted>
  <dcterms:created xsi:type="dcterms:W3CDTF">2021-11-11T23:04:00Z</dcterms:created>
  <dcterms:modified xsi:type="dcterms:W3CDTF">2021-11-11T23:04:00Z</dcterms:modified>
</cp:coreProperties>
</file>