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C0A21C" w14:textId="09E06DF4" w:rsidR="00417C03" w:rsidRDefault="002544FF" w:rsidP="00214773">
      <w:pPr>
        <w:pStyle w:val="Titledate"/>
        <w:ind w:left="0"/>
      </w:pPr>
      <w:r>
        <w:rPr>
          <w:noProof/>
          <w:lang w:eastAsia="en-AU"/>
        </w:rPr>
        <w:drawing>
          <wp:anchor distT="0" distB="0" distL="114300" distR="114300" simplePos="0" relativeHeight="251667456" behindDoc="1" locked="0" layoutInCell="1" allowOverlap="1" wp14:anchorId="11A6849B" wp14:editId="7CC2DD37">
            <wp:simplePos x="0" y="0"/>
            <wp:positionH relativeFrom="page">
              <wp:posOffset>-13246</wp:posOffset>
            </wp:positionH>
            <wp:positionV relativeFrom="paragraph">
              <wp:posOffset>-710565</wp:posOffset>
            </wp:positionV>
            <wp:extent cx="7560425" cy="10694324"/>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ustry Act 1995 cover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425" cy="106943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77342" w14:textId="01E6DB19" w:rsidR="00A836AB" w:rsidRDefault="00815719" w:rsidP="00A836AB">
      <w:r w:rsidRPr="00EC2562">
        <w:rPr>
          <w:noProof/>
          <w:lang w:eastAsia="en-AU"/>
        </w:rPr>
        <mc:AlternateContent>
          <mc:Choice Requires="wps">
            <w:drawing>
              <wp:anchor distT="0" distB="0" distL="114300" distR="114300" simplePos="0" relativeHeight="251666432" behindDoc="0" locked="0" layoutInCell="1" allowOverlap="1" wp14:anchorId="0FB016FD" wp14:editId="3BCFCFAA">
                <wp:simplePos x="0" y="0"/>
                <wp:positionH relativeFrom="column">
                  <wp:posOffset>-386715</wp:posOffset>
                </wp:positionH>
                <wp:positionV relativeFrom="paragraph">
                  <wp:posOffset>160020</wp:posOffset>
                </wp:positionV>
                <wp:extent cx="2651760" cy="403860"/>
                <wp:effectExtent l="0" t="0" r="15240" b="15240"/>
                <wp:wrapNone/>
                <wp:docPr id="6" name="Text Box 6"/>
                <wp:cNvGraphicFramePr/>
                <a:graphic xmlns:a="http://schemas.openxmlformats.org/drawingml/2006/main">
                  <a:graphicData uri="http://schemas.microsoft.com/office/word/2010/wordprocessingShape">
                    <wps:wsp>
                      <wps:cNvSpPr txBox="1"/>
                      <wps:spPr>
                        <a:xfrm>
                          <a:off x="0" y="0"/>
                          <a:ext cx="2651760" cy="4038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17A034" w14:textId="0AE5F829" w:rsidR="001A0CD9" w:rsidRPr="00815719" w:rsidRDefault="00815719" w:rsidP="001A0CD9">
                            <w:pPr>
                              <w:pStyle w:val="Subtitle"/>
                              <w:rPr>
                                <w:rFonts w:ascii="Gill Sans MT" w:hAnsi="Gill Sans MT"/>
                                <w:sz w:val="40"/>
                                <w:szCs w:val="40"/>
                                <w:lang w:val="en-US"/>
                              </w:rPr>
                            </w:pPr>
                            <w:r w:rsidRPr="00815719">
                              <w:rPr>
                                <w:rFonts w:ascii="Gill Sans MT" w:hAnsi="Gill Sans MT"/>
                                <w:sz w:val="40"/>
                                <w:szCs w:val="40"/>
                                <w:lang w:val="en-US"/>
                              </w:rPr>
                              <w:t>Consultation Summary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016FD" id="_x0000_t202" coordsize="21600,21600" o:spt="202" path="m,l,21600r21600,l21600,xe">
                <v:stroke joinstyle="miter"/>
                <v:path gradientshapeok="t" o:connecttype="rect"/>
              </v:shapetype>
              <v:shape id="Text Box 6" o:spid="_x0000_s1026" type="#_x0000_t202" style="position:absolute;left:0;text-align:left;margin-left:-30.45pt;margin-top:12.6pt;width:208.8pt;height:3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" filled="f" stroked="f">
                <v:textbox inset="0,0,0,0">
                  <w:txbxContent>
                    <w:p w14:paraId="5317A034" w14:textId="0AE5F829" w:rsidR="001A0CD9" w:rsidRPr="00815719" w:rsidRDefault="00815719" w:rsidP="001A0CD9">
                      <w:pPr>
                        <w:pStyle w:val="Subtitle"/>
                        <w:rPr>
                          <w:rFonts w:ascii="Gill Sans MT" w:hAnsi="Gill Sans MT"/>
                          <w:sz w:val="40"/>
                          <w:szCs w:val="40"/>
                          <w:lang w:val="en-US"/>
                        </w:rPr>
                      </w:pPr>
                      <w:r w:rsidRPr="00815719">
                        <w:rPr>
                          <w:rFonts w:ascii="Gill Sans MT" w:hAnsi="Gill Sans MT"/>
                          <w:sz w:val="40"/>
                          <w:szCs w:val="40"/>
                          <w:lang w:val="en-US"/>
                        </w:rPr>
                        <w:t>Consultation Summary</w:t>
                      </w:r>
                    </w:p>
                  </w:txbxContent>
                </v:textbox>
              </v:shape>
            </w:pict>
          </mc:Fallback>
        </mc:AlternateContent>
      </w:r>
    </w:p>
    <w:p w14:paraId="0E9D8C89" w14:textId="628F44BD" w:rsidR="00A836AB" w:rsidRDefault="00A836AB" w:rsidP="00A836AB"/>
    <w:p w14:paraId="28CCB84F" w14:textId="489CE82C" w:rsidR="00A836AB" w:rsidRDefault="00A836AB" w:rsidP="00214773">
      <w:pPr>
        <w:pStyle w:val="Titledate"/>
        <w:ind w:left="0"/>
        <w:sectPr w:rsidR="00A836AB" w:rsidSect="00417C03">
          <w:footerReference w:type="default" r:id="rId9"/>
          <w:type w:val="continuous"/>
          <w:pgSz w:w="11904" w:h="16834" w:code="9"/>
          <w:pgMar w:top="1134" w:right="705" w:bottom="851" w:left="993" w:header="454" w:footer="851" w:gutter="0"/>
          <w:cols w:space="708"/>
          <w:titlePg/>
          <w:docGrid w:linePitch="286"/>
        </w:sectPr>
      </w:pPr>
    </w:p>
    <w:p w14:paraId="5584865E" w14:textId="77777777" w:rsidR="00E05907" w:rsidRDefault="00E05907" w:rsidP="00E05907">
      <w:pPr>
        <w:pStyle w:val="ChapterHeadingLevel1"/>
        <w:jc w:val="both"/>
      </w:pPr>
      <w:bookmarkStart w:id="0" w:name="_Toc19713197"/>
      <w:bookmarkStart w:id="1" w:name="_Toc12890570"/>
      <w:bookmarkStart w:id="2" w:name="_Toc12890575"/>
      <w:r>
        <w:lastRenderedPageBreak/>
        <w:t>Background</w:t>
      </w:r>
      <w:bookmarkEnd w:id="0"/>
      <w:bookmarkEnd w:id="1"/>
      <w:r>
        <w:t xml:space="preserve"> </w:t>
      </w:r>
    </w:p>
    <w:p w14:paraId="19D38A20" w14:textId="6BB7AAE7" w:rsidR="009D682F" w:rsidRDefault="009D682F" w:rsidP="009D682F">
      <w:pPr>
        <w:pStyle w:val="ChapterHeadingLevel1"/>
        <w:jc w:val="both"/>
        <w:rPr>
          <w:color w:val="242424"/>
          <w:spacing w:val="0"/>
          <w:position w:val="0"/>
          <w:sz w:val="24"/>
        </w:rPr>
      </w:pPr>
      <w:r w:rsidRPr="00D21DC6">
        <w:rPr>
          <w:color w:val="242424"/>
          <w:spacing w:val="0"/>
          <w:position w:val="0"/>
          <w:sz w:val="24"/>
        </w:rPr>
        <w:t xml:space="preserve">The </w:t>
      </w:r>
      <w:r>
        <w:rPr>
          <w:color w:val="242424"/>
          <w:spacing w:val="0"/>
          <w:position w:val="0"/>
          <w:sz w:val="24"/>
        </w:rPr>
        <w:t xml:space="preserve">Tasmanian </w:t>
      </w:r>
      <w:r w:rsidRPr="00D21DC6">
        <w:rPr>
          <w:color w:val="242424"/>
          <w:spacing w:val="0"/>
          <w:position w:val="0"/>
          <w:sz w:val="24"/>
        </w:rPr>
        <w:t>Government is comm</w:t>
      </w:r>
      <w:r>
        <w:rPr>
          <w:color w:val="242424"/>
          <w:spacing w:val="0"/>
          <w:position w:val="0"/>
          <w:sz w:val="24"/>
        </w:rPr>
        <w:t xml:space="preserve">itted to delivering </w:t>
      </w:r>
      <w:r w:rsidR="00021552">
        <w:rPr>
          <w:color w:val="242424"/>
          <w:spacing w:val="0"/>
          <w:position w:val="0"/>
          <w:sz w:val="24"/>
        </w:rPr>
        <w:t xml:space="preserve">a </w:t>
      </w:r>
      <w:r>
        <w:rPr>
          <w:color w:val="242424"/>
          <w:spacing w:val="0"/>
          <w:position w:val="0"/>
          <w:sz w:val="24"/>
        </w:rPr>
        <w:t>secure a</w:t>
      </w:r>
      <w:r w:rsidR="00021552">
        <w:rPr>
          <w:color w:val="242424"/>
          <w:spacing w:val="0"/>
          <w:position w:val="0"/>
          <w:sz w:val="24"/>
        </w:rPr>
        <w:t>nd</w:t>
      </w:r>
      <w:r w:rsidRPr="00D21DC6">
        <w:rPr>
          <w:color w:val="242424"/>
          <w:spacing w:val="0"/>
          <w:position w:val="0"/>
          <w:sz w:val="24"/>
        </w:rPr>
        <w:t xml:space="preserve"> reliable electricity supply </w:t>
      </w:r>
      <w:r w:rsidR="00815719">
        <w:rPr>
          <w:color w:val="242424"/>
          <w:spacing w:val="0"/>
          <w:position w:val="0"/>
          <w:sz w:val="24"/>
        </w:rPr>
        <w:t>with</w:t>
      </w:r>
      <w:r w:rsidRPr="00D21DC6">
        <w:rPr>
          <w:color w:val="242424"/>
          <w:spacing w:val="0"/>
          <w:position w:val="0"/>
          <w:sz w:val="24"/>
        </w:rPr>
        <w:t xml:space="preserve"> </w:t>
      </w:r>
      <w:r w:rsidR="00021552">
        <w:rPr>
          <w:color w:val="242424"/>
          <w:spacing w:val="0"/>
          <w:position w:val="0"/>
          <w:sz w:val="24"/>
        </w:rPr>
        <w:t xml:space="preserve">the </w:t>
      </w:r>
      <w:r w:rsidRPr="00D21DC6">
        <w:rPr>
          <w:color w:val="242424"/>
          <w:spacing w:val="0"/>
          <w:position w:val="0"/>
          <w:sz w:val="24"/>
        </w:rPr>
        <w:t>lowe</w:t>
      </w:r>
      <w:r w:rsidR="00021552">
        <w:rPr>
          <w:color w:val="242424"/>
          <w:spacing w:val="0"/>
          <w:position w:val="0"/>
          <w:sz w:val="24"/>
        </w:rPr>
        <w:t>st possible</w:t>
      </w:r>
      <w:r w:rsidRPr="00D21DC6">
        <w:rPr>
          <w:color w:val="242424"/>
          <w:spacing w:val="0"/>
          <w:position w:val="0"/>
          <w:sz w:val="24"/>
        </w:rPr>
        <w:t xml:space="preserve"> power prices. Key outcomes of </w:t>
      </w:r>
      <w:r w:rsidR="00815719">
        <w:rPr>
          <w:color w:val="242424"/>
          <w:spacing w:val="0"/>
          <w:position w:val="0"/>
          <w:sz w:val="24"/>
        </w:rPr>
        <w:t>Government policy</w:t>
      </w:r>
      <w:r w:rsidRPr="00D21DC6">
        <w:rPr>
          <w:color w:val="242424"/>
          <w:spacing w:val="0"/>
          <w:position w:val="0"/>
          <w:sz w:val="24"/>
        </w:rPr>
        <w:t xml:space="preserve"> are improving the efficiency of the electricity supply industry in Tasmania to ensure Tasmanians are getting the most </w:t>
      </w:r>
      <w:r w:rsidR="00815719">
        <w:rPr>
          <w:color w:val="242424"/>
          <w:spacing w:val="0"/>
          <w:position w:val="0"/>
          <w:sz w:val="24"/>
        </w:rPr>
        <w:t>reliable</w:t>
      </w:r>
      <w:r w:rsidRPr="00D21DC6">
        <w:rPr>
          <w:color w:val="242424"/>
          <w:spacing w:val="0"/>
          <w:position w:val="0"/>
          <w:sz w:val="24"/>
        </w:rPr>
        <w:t xml:space="preserve"> and </w:t>
      </w:r>
      <w:r w:rsidR="00815719">
        <w:rPr>
          <w:color w:val="242424"/>
          <w:spacing w:val="0"/>
          <w:position w:val="0"/>
          <w:sz w:val="24"/>
        </w:rPr>
        <w:t>affordable</w:t>
      </w:r>
      <w:r w:rsidRPr="00D21DC6">
        <w:rPr>
          <w:color w:val="242424"/>
          <w:spacing w:val="0"/>
          <w:position w:val="0"/>
          <w:sz w:val="24"/>
        </w:rPr>
        <w:t xml:space="preserve"> energy sector possible, as well as securing maximum opportunities for growth. </w:t>
      </w:r>
      <w:r w:rsidR="00815719">
        <w:rPr>
          <w:color w:val="242424"/>
          <w:spacing w:val="0"/>
          <w:position w:val="0"/>
          <w:sz w:val="24"/>
        </w:rPr>
        <w:t>This was a key theme in the Government’s energy strategy released in May 2015 – “Restoring Tasmania’s Energy Advantage” – and will continue to b</w:t>
      </w:r>
      <w:r w:rsidR="006F2DB1">
        <w:rPr>
          <w:color w:val="242424"/>
          <w:spacing w:val="0"/>
          <w:position w:val="0"/>
          <w:sz w:val="24"/>
        </w:rPr>
        <w:t>e a key theme in the Tasmanian Energy Plan.</w:t>
      </w:r>
      <w:r w:rsidR="00815719">
        <w:rPr>
          <w:color w:val="242424"/>
          <w:spacing w:val="0"/>
          <w:position w:val="0"/>
          <w:sz w:val="24"/>
        </w:rPr>
        <w:t xml:space="preserve"> </w:t>
      </w:r>
    </w:p>
    <w:p w14:paraId="3DA828EF" w14:textId="45C716BD" w:rsidR="009D682F" w:rsidRDefault="009D682F" w:rsidP="009D682F">
      <w:pPr>
        <w:pStyle w:val="ChapterHeadingLevel1"/>
        <w:jc w:val="both"/>
        <w:rPr>
          <w:color w:val="242424"/>
          <w:spacing w:val="0"/>
          <w:position w:val="0"/>
          <w:sz w:val="24"/>
        </w:rPr>
      </w:pPr>
      <w:r w:rsidRPr="00D21DC6">
        <w:rPr>
          <w:color w:val="242424"/>
          <w:spacing w:val="0"/>
          <w:position w:val="0"/>
          <w:sz w:val="24"/>
        </w:rPr>
        <w:t xml:space="preserve">As part of the strategy, the Department of State Growth, and the departments of Treasury and Finance and Justice have been tasked with reviewing the </w:t>
      </w:r>
      <w:r w:rsidRPr="006F2DB1">
        <w:rPr>
          <w:i/>
          <w:color w:val="242424"/>
          <w:spacing w:val="0"/>
          <w:position w:val="0"/>
          <w:sz w:val="24"/>
        </w:rPr>
        <w:t>Electricity Supply Industry Act 1995</w:t>
      </w:r>
      <w:r w:rsidRPr="00D21DC6">
        <w:rPr>
          <w:color w:val="242424"/>
          <w:spacing w:val="0"/>
          <w:position w:val="0"/>
          <w:sz w:val="24"/>
        </w:rPr>
        <w:t xml:space="preserve"> (ESI Act). The review will consider the ESI Act in the context of changing technologies and </w:t>
      </w:r>
      <w:r w:rsidR="006F2DB1">
        <w:rPr>
          <w:color w:val="242424"/>
          <w:spacing w:val="0"/>
          <w:position w:val="0"/>
          <w:sz w:val="24"/>
        </w:rPr>
        <w:t>the national transition to a lower emission</w:t>
      </w:r>
      <w:r w:rsidRPr="00D21DC6">
        <w:rPr>
          <w:color w:val="242424"/>
          <w:spacing w:val="0"/>
          <w:position w:val="0"/>
          <w:sz w:val="24"/>
        </w:rPr>
        <w:t>s</w:t>
      </w:r>
      <w:r w:rsidR="006F2DB1">
        <w:rPr>
          <w:color w:val="242424"/>
          <w:spacing w:val="0"/>
          <w:position w:val="0"/>
          <w:sz w:val="24"/>
        </w:rPr>
        <w:t xml:space="preserve"> generation sector to ensure that the legislative arrangements remain</w:t>
      </w:r>
      <w:r w:rsidRPr="00D21DC6">
        <w:rPr>
          <w:color w:val="242424"/>
          <w:spacing w:val="0"/>
          <w:position w:val="0"/>
          <w:sz w:val="24"/>
        </w:rPr>
        <w:t xml:space="preserve"> </w:t>
      </w:r>
      <w:r w:rsidR="006F2DB1">
        <w:rPr>
          <w:color w:val="242424"/>
          <w:spacing w:val="0"/>
          <w:position w:val="0"/>
          <w:sz w:val="24"/>
        </w:rPr>
        <w:t>fit for</w:t>
      </w:r>
      <w:r w:rsidRPr="00D21DC6">
        <w:rPr>
          <w:color w:val="242424"/>
          <w:spacing w:val="0"/>
          <w:position w:val="0"/>
          <w:sz w:val="24"/>
        </w:rPr>
        <w:t xml:space="preserve"> purpose</w:t>
      </w:r>
      <w:r w:rsidR="006F2DB1">
        <w:rPr>
          <w:color w:val="242424"/>
          <w:spacing w:val="0"/>
          <w:position w:val="0"/>
          <w:sz w:val="24"/>
        </w:rPr>
        <w:t>,</w:t>
      </w:r>
      <w:r w:rsidRPr="00D21DC6">
        <w:rPr>
          <w:color w:val="242424"/>
          <w:spacing w:val="0"/>
          <w:position w:val="0"/>
          <w:sz w:val="24"/>
        </w:rPr>
        <w:t xml:space="preserve"> and </w:t>
      </w:r>
      <w:r w:rsidR="006F2DB1">
        <w:rPr>
          <w:color w:val="242424"/>
          <w:spacing w:val="0"/>
          <w:position w:val="0"/>
          <w:sz w:val="24"/>
        </w:rPr>
        <w:t>reflect a contemporary approach so that it delivers on reliability and price, thereby meeting the needs of customers and the community.</w:t>
      </w:r>
    </w:p>
    <w:p w14:paraId="16C89DA5" w14:textId="29547213" w:rsidR="0005680C" w:rsidRDefault="0005680C" w:rsidP="009D682F">
      <w:pPr>
        <w:pStyle w:val="ChapterHeadingLevel1"/>
        <w:jc w:val="both"/>
      </w:pPr>
      <w:r w:rsidRPr="00CC681B">
        <w:t>Electricity Supply Industry Act 1995</w:t>
      </w:r>
    </w:p>
    <w:p w14:paraId="5823A089" w14:textId="77777777" w:rsidR="00E05907" w:rsidRDefault="00E05907" w:rsidP="00E05907">
      <w:pPr>
        <w:spacing w:before="240"/>
      </w:pPr>
      <w:r>
        <w:t xml:space="preserve">The </w:t>
      </w:r>
      <w:r>
        <w:rPr>
          <w:i/>
        </w:rPr>
        <w:t>Electricity Supply Industry Act 1995</w:t>
      </w:r>
      <w:r>
        <w:t xml:space="preserve"> (ESI Act) aims to promote efficiency and competition in the electricity supply industry, and to provide for a safe and efficient system of electricity generation, transmission, distribution and supply. </w:t>
      </w:r>
    </w:p>
    <w:p w14:paraId="69D2802F" w14:textId="77777777" w:rsidR="00E05907" w:rsidRDefault="00E05907" w:rsidP="00E05907">
      <w:pPr>
        <w:spacing w:before="240"/>
      </w:pPr>
      <w:r>
        <w:t>The ESI Act was introduced following the Council of Australian Governments (COAG) national competition reforms aimed at developing a competitive national electricity market with greater customer choice and improved services.</w:t>
      </w:r>
    </w:p>
    <w:p w14:paraId="4B8C71CD" w14:textId="36797CC7" w:rsidR="00E05907" w:rsidRDefault="00E05907" w:rsidP="00E05907">
      <w:pPr>
        <w:spacing w:before="240"/>
      </w:pPr>
      <w:r>
        <w:t>The ESI Act provided a new economic and regulatory framework for the electricity supply industry</w:t>
      </w:r>
      <w:r w:rsidR="00021552">
        <w:t>,</w:t>
      </w:r>
      <w:r>
        <w:t xml:space="preserve"> following the disaggregation of the Hydro-Electric Commission (HEC) into three businesses</w:t>
      </w:r>
      <w:r w:rsidR="004A5AE9">
        <w:t xml:space="preserve">, </w:t>
      </w:r>
      <w:r>
        <w:t xml:space="preserve">and </w:t>
      </w:r>
      <w:r w:rsidR="006F2DB1">
        <w:t>the removal of</w:t>
      </w:r>
      <w:r>
        <w:t xml:space="preserve"> the monopoly held by the HEC for electricity generation in Tasmania. It set out the </w:t>
      </w:r>
      <w:r w:rsidR="00021552">
        <w:t xml:space="preserve">statutory arrangements </w:t>
      </w:r>
      <w:r>
        <w:t xml:space="preserve">for generation, transmission, distribution and supply of electricity, as well as wholesale electricity pricing, contracts and licensing within the industry. </w:t>
      </w:r>
    </w:p>
    <w:p w14:paraId="65F6A06F" w14:textId="18174852" w:rsidR="00E05907" w:rsidRDefault="00E05907" w:rsidP="00E05907">
      <w:pPr>
        <w:spacing w:before="240"/>
      </w:pPr>
      <w:r>
        <w:t xml:space="preserve">The Act also </w:t>
      </w:r>
      <w:r w:rsidR="006F2DB1">
        <w:t>provides</w:t>
      </w:r>
      <w:r>
        <w:t xml:space="preserve"> for land use</w:t>
      </w:r>
      <w:r w:rsidR="006F2DB1">
        <w:t xml:space="preserve"> planning,</w:t>
      </w:r>
      <w:r>
        <w:t xml:space="preserve"> </w:t>
      </w:r>
      <w:r w:rsidR="006F2DB1">
        <w:t xml:space="preserve">rights of </w:t>
      </w:r>
      <w:r>
        <w:t xml:space="preserve">access, </w:t>
      </w:r>
      <w:r w:rsidR="006F2DB1">
        <w:t xml:space="preserve">responsibility for </w:t>
      </w:r>
      <w:r>
        <w:t xml:space="preserve">electricity infrastructure, the role of electricity officers and their powers, </w:t>
      </w:r>
      <w:r w:rsidR="006F2DB1">
        <w:t xml:space="preserve">arrangement for </w:t>
      </w:r>
      <w:r>
        <w:t xml:space="preserve">emergency restrictions, and enforcement powers. </w:t>
      </w:r>
    </w:p>
    <w:p w14:paraId="4175AFCB" w14:textId="38ADFAA6" w:rsidR="00E05907" w:rsidRPr="008059D6" w:rsidRDefault="00E05907" w:rsidP="00E05907">
      <w:pPr>
        <w:keepLines/>
        <w:spacing w:before="100" w:beforeAutospacing="1" w:after="100" w:afterAutospacing="1"/>
      </w:pPr>
      <w:r w:rsidRPr="008059D6">
        <w:t xml:space="preserve">Three Departments - State Growth, Treasury and Justice </w:t>
      </w:r>
      <w:r w:rsidR="006F2DB1">
        <w:t xml:space="preserve">- </w:t>
      </w:r>
      <w:r w:rsidRPr="008059D6">
        <w:t xml:space="preserve">have responsibility for separate areas of the ESI Act (including all subordinate instruments). The Department of State Growth </w:t>
      </w:r>
      <w:r>
        <w:t>has primary responsibility for administering the ESI Act</w:t>
      </w:r>
      <w:r w:rsidRPr="008059D6">
        <w:t xml:space="preserve"> </w:t>
      </w:r>
      <w:r>
        <w:t xml:space="preserve">and </w:t>
      </w:r>
      <w:r w:rsidRPr="008059D6">
        <w:t>is leading</w:t>
      </w:r>
      <w:r>
        <w:t xml:space="preserve"> the review of the ESI Act</w:t>
      </w:r>
      <w:r w:rsidRPr="008059D6">
        <w:t xml:space="preserve">. A Working Group made up of State Growth, Treasury and Justice </w:t>
      </w:r>
      <w:r w:rsidR="004A5AE9">
        <w:t>Officers</w:t>
      </w:r>
      <w:r w:rsidR="006E6BB6" w:rsidRPr="008059D6">
        <w:t xml:space="preserve"> </w:t>
      </w:r>
      <w:r w:rsidRPr="008059D6">
        <w:t xml:space="preserve">has been established to ensure coordination with all three areas of the Act that are under review by the relevant Departments. </w:t>
      </w:r>
    </w:p>
    <w:p w14:paraId="5AE5E70C" w14:textId="784E638C" w:rsidR="00E05907" w:rsidRDefault="00E05907" w:rsidP="00E05907">
      <w:pPr>
        <w:keepLines/>
        <w:spacing w:before="100" w:beforeAutospacing="1" w:after="100" w:afterAutospacing="1"/>
      </w:pPr>
      <w:r w:rsidRPr="008F5F27">
        <w:t>The Department of Justice intends to remove its responsibilities from the ESI Act and consoli</w:t>
      </w:r>
      <w:r w:rsidR="00270289">
        <w:t>date these into a new Electricity Safety Bill. The new Electricity</w:t>
      </w:r>
      <w:r w:rsidRPr="008F5F27">
        <w:t xml:space="preserve"> Safety Bill is designed to prevent electrical accidents and injuries, promote good practice in the design, use and maintenance of electrical systems and consolidate electrical safety requirements currently spread over three Acts.</w:t>
      </w:r>
    </w:p>
    <w:p w14:paraId="063E507B" w14:textId="0D792936" w:rsidR="009D682F" w:rsidRPr="009D682F" w:rsidRDefault="009D682F" w:rsidP="009D682F">
      <w:pPr>
        <w:spacing w:before="100" w:beforeAutospacing="1" w:after="100" w:afterAutospacing="1"/>
      </w:pPr>
      <w:bookmarkStart w:id="3" w:name="_Toc19713198"/>
      <w:r w:rsidRPr="009D682F">
        <w:lastRenderedPageBreak/>
        <w:t xml:space="preserve">Within the ESI Act the Treasurer </w:t>
      </w:r>
      <w:r w:rsidR="006E6BB6">
        <w:t xml:space="preserve">has primary responsibility </w:t>
      </w:r>
      <w:r w:rsidRPr="009D682F">
        <w:t>for pric</w:t>
      </w:r>
      <w:r w:rsidR="006E6BB6">
        <w:t>e regulation</w:t>
      </w:r>
      <w:r w:rsidRPr="009D682F">
        <w:t xml:space="preserve"> and</w:t>
      </w:r>
      <w:r w:rsidR="006E6BB6">
        <w:t xml:space="preserve"> market design</w:t>
      </w:r>
      <w:r w:rsidRPr="009D682F">
        <w:t>, including the establishment of the Regulator.  Treasury</w:t>
      </w:r>
      <w:r w:rsidR="006E6BB6">
        <w:t xml:space="preserve"> has </w:t>
      </w:r>
      <w:r w:rsidR="004A5AE9">
        <w:t xml:space="preserve">advised </w:t>
      </w:r>
      <w:r w:rsidR="004A5AE9" w:rsidRPr="009D682F">
        <w:t>that</w:t>
      </w:r>
      <w:r w:rsidRPr="009D682F">
        <w:t xml:space="preserve"> given the current review into the wholesale electricity</w:t>
      </w:r>
      <w:r>
        <w:rPr>
          <w:i/>
          <w:iCs/>
        </w:rPr>
        <w:t xml:space="preserve"> </w:t>
      </w:r>
      <w:r w:rsidRPr="009D682F">
        <w:t xml:space="preserve">price framework, which will impact on the legislative requirements in setting regulated tariffs, it is not prudent to review these provisions of the Act at this time. </w:t>
      </w:r>
    </w:p>
    <w:p w14:paraId="5E515273" w14:textId="26B613ED" w:rsidR="009D682F" w:rsidRPr="009D682F" w:rsidRDefault="009D682F" w:rsidP="009D682F">
      <w:r w:rsidRPr="009D682F">
        <w:t xml:space="preserve">Therefore this review excludes those provisions </w:t>
      </w:r>
      <w:r w:rsidR="006E6BB6">
        <w:t xml:space="preserve">for </w:t>
      </w:r>
      <w:r w:rsidRPr="009D682F">
        <w:t>which the Treasurer is responsible</w:t>
      </w:r>
      <w:r w:rsidR="004A5AE9">
        <w:t>.</w:t>
      </w:r>
      <w:r w:rsidRPr="009D682F">
        <w:t xml:space="preserve"> These provisions </w:t>
      </w:r>
      <w:r w:rsidR="006E6BB6">
        <w:t>will</w:t>
      </w:r>
      <w:r w:rsidR="006E6BB6" w:rsidRPr="009D682F">
        <w:t xml:space="preserve"> </w:t>
      </w:r>
      <w:r w:rsidRPr="009D682F">
        <w:t xml:space="preserve">be </w:t>
      </w:r>
      <w:r w:rsidR="006E6BB6">
        <w:t>considered</w:t>
      </w:r>
      <w:r w:rsidR="006E6BB6" w:rsidRPr="009D682F">
        <w:t xml:space="preserve"> </w:t>
      </w:r>
      <w:r w:rsidRPr="009D682F">
        <w:t xml:space="preserve">by Treasury following the completion of the review into the wholesale electricity price framework. </w:t>
      </w:r>
      <w:r>
        <w:t>The</w:t>
      </w:r>
      <w:r w:rsidRPr="009D682F">
        <w:t xml:space="preserve"> </w:t>
      </w:r>
      <w:r>
        <w:t xml:space="preserve">outcome </w:t>
      </w:r>
      <w:r w:rsidRPr="009D682F">
        <w:t>of the review is expected to occur in the first quarter of 2020</w:t>
      </w:r>
      <w:r>
        <w:t xml:space="preserve"> at which time Treasury will provide advice to the Government</w:t>
      </w:r>
      <w:r w:rsidRPr="009D682F">
        <w:t>.</w:t>
      </w:r>
    </w:p>
    <w:p w14:paraId="3D20D960" w14:textId="76CC6B28" w:rsidR="00E05907" w:rsidRDefault="00E05907" w:rsidP="00E05907">
      <w:pPr>
        <w:pStyle w:val="ChapterHeadingLevel1"/>
        <w:jc w:val="both"/>
      </w:pPr>
      <w:r>
        <w:t xml:space="preserve">Purpose of the </w:t>
      </w:r>
      <w:r w:rsidR="006E6BB6">
        <w:t xml:space="preserve">current </w:t>
      </w:r>
      <w:r>
        <w:t>review</w:t>
      </w:r>
      <w:bookmarkEnd w:id="3"/>
    </w:p>
    <w:p w14:paraId="36994DAC" w14:textId="4678BD5B" w:rsidR="00E05907" w:rsidRDefault="006E6BB6" w:rsidP="00E05907">
      <w:pPr>
        <w:spacing w:before="240"/>
      </w:pPr>
      <w:r>
        <w:t xml:space="preserve">The background to, and purpose, of the review were outlined in the Discussion Paper, released on </w:t>
      </w:r>
      <w:r w:rsidR="00C643CB">
        <w:t xml:space="preserve">26 July, 2019. </w:t>
      </w:r>
      <w:r>
        <w:t xml:space="preserve"> As noted in that paper, </w:t>
      </w:r>
      <w:r w:rsidR="00E05907">
        <w:t xml:space="preserve">this review will not revisit issues raised </w:t>
      </w:r>
      <w:r>
        <w:t>during</w:t>
      </w:r>
      <w:r w:rsidR="00C643CB">
        <w:t xml:space="preserve"> </w:t>
      </w:r>
      <w:r>
        <w:t xml:space="preserve">2014-15 in </w:t>
      </w:r>
      <w:r w:rsidR="00E05907">
        <w:t xml:space="preserve">the development of the </w:t>
      </w:r>
      <w:r>
        <w:t>S</w:t>
      </w:r>
      <w:r w:rsidR="00E05907">
        <w:t>trategy, or structural competition issues reviewed previously by the Tasmanian Electricity Supply Industry Expert Panel.</w:t>
      </w:r>
    </w:p>
    <w:p w14:paraId="32459C8C" w14:textId="003DF7EF" w:rsidR="00E05907" w:rsidRDefault="00E05907" w:rsidP="006A4A97">
      <w:pPr>
        <w:pStyle w:val="ChapterHeadingLevel1"/>
      </w:pPr>
      <w:r>
        <w:t>Consultation</w:t>
      </w:r>
      <w:r w:rsidR="0005680C">
        <w:t>-</w:t>
      </w:r>
      <w:r>
        <w:t>Key issues raised by stakeholders</w:t>
      </w:r>
    </w:p>
    <w:p w14:paraId="33937144" w14:textId="6DB4A4B9" w:rsidR="00E05907" w:rsidRDefault="00E05907" w:rsidP="00E05907">
      <w:pPr>
        <w:keepLines/>
        <w:spacing w:before="100" w:beforeAutospacing="1" w:after="100" w:afterAutospacing="1"/>
      </w:pPr>
      <w:r w:rsidRPr="005F2B85">
        <w:t xml:space="preserve">A discussion paper was posted </w:t>
      </w:r>
      <w:r w:rsidR="00A769E7">
        <w:t>on</w:t>
      </w:r>
      <w:r w:rsidR="00A769E7" w:rsidRPr="005F2B85">
        <w:t xml:space="preserve"> </w:t>
      </w:r>
      <w:r w:rsidRPr="005F2B85">
        <w:t>State Growth’s website</w:t>
      </w:r>
      <w:r w:rsidR="00C643CB">
        <w:t xml:space="preserve"> on 26 July, 2019</w:t>
      </w:r>
      <w:r w:rsidRPr="005F2B85">
        <w:t xml:space="preserve"> and stakeholders </w:t>
      </w:r>
      <w:r w:rsidR="006E6BB6">
        <w:t>invited</w:t>
      </w:r>
      <w:r w:rsidR="006E6BB6" w:rsidRPr="005F2B85">
        <w:t xml:space="preserve"> </w:t>
      </w:r>
      <w:r w:rsidRPr="005F2B85">
        <w:t>to provide submissions</w:t>
      </w:r>
      <w:r w:rsidR="006E6BB6">
        <w:t xml:space="preserve">, with this initial round of consultation ending on </w:t>
      </w:r>
      <w:r w:rsidR="00C643CB">
        <w:t>23 August</w:t>
      </w:r>
      <w:r w:rsidR="006E6BB6">
        <w:t xml:space="preserve"> 2019</w:t>
      </w:r>
      <w:r w:rsidRPr="005F2B85">
        <w:t xml:space="preserve">. </w:t>
      </w:r>
      <w:r>
        <w:t>The Department of State Growth received</w:t>
      </w:r>
      <w:r w:rsidRPr="005F2B85">
        <w:t xml:space="preserve"> 8 written submissions </w:t>
      </w:r>
      <w:r>
        <w:t>including those from</w:t>
      </w:r>
      <w:r w:rsidRPr="005F2B85">
        <w:t xml:space="preserve"> the State’s energy businesses</w:t>
      </w:r>
      <w:r>
        <w:t xml:space="preserve"> (see Attachment A). Copies of the consultation responses can viewed on the ESI consultation page of the Department of State Growth’s website. </w:t>
      </w:r>
      <w:r w:rsidRPr="00C643CB">
        <w:rPr>
          <w:b/>
        </w:rPr>
        <w:t>[insert weblink]</w:t>
      </w:r>
    </w:p>
    <w:p w14:paraId="3A6CFF57" w14:textId="77777777" w:rsidR="00E05907" w:rsidRDefault="00E05907" w:rsidP="00E05907">
      <w:pPr>
        <w:keepLines/>
        <w:spacing w:before="100" w:beforeAutospacing="1" w:after="100" w:afterAutospacing="1"/>
      </w:pPr>
      <w:r>
        <w:t xml:space="preserve">Stakeholders who responded to the consultation raised a variety of issues.  A summary of the key headline issues and themes raised respondents are listed below: </w:t>
      </w:r>
    </w:p>
    <w:p w14:paraId="1D2EA477" w14:textId="429950C4" w:rsidR="006E6BB6" w:rsidRPr="007571CD" w:rsidRDefault="00E05907" w:rsidP="007571CD">
      <w:pPr>
        <w:pStyle w:val="ChapterHeadingLevel1"/>
        <w:jc w:val="both"/>
        <w:rPr>
          <w:b/>
          <w:color w:val="242424"/>
          <w:spacing w:val="0"/>
          <w:position w:val="0"/>
          <w:sz w:val="24"/>
        </w:rPr>
      </w:pPr>
      <w:r w:rsidRPr="007571CD">
        <w:rPr>
          <w:b/>
          <w:color w:val="242424"/>
          <w:spacing w:val="0"/>
          <w:position w:val="0"/>
          <w:sz w:val="24"/>
        </w:rPr>
        <w:t>There are targeted opportunities to improve the effectiveness of the ESI Act</w:t>
      </w:r>
      <w:r w:rsidR="007571CD">
        <w:rPr>
          <w:b/>
          <w:color w:val="242424"/>
          <w:spacing w:val="0"/>
          <w:position w:val="0"/>
          <w:sz w:val="24"/>
        </w:rPr>
        <w:t xml:space="preserve"> by:</w:t>
      </w:r>
      <w:r w:rsidRPr="007571CD">
        <w:rPr>
          <w:b/>
          <w:color w:val="242424"/>
          <w:spacing w:val="0"/>
          <w:position w:val="0"/>
          <w:sz w:val="24"/>
        </w:rPr>
        <w:t xml:space="preserve"> </w:t>
      </w:r>
    </w:p>
    <w:p w14:paraId="543D88DB" w14:textId="77777777" w:rsidR="007571CD" w:rsidRPr="007571CD" w:rsidRDefault="007571CD" w:rsidP="007571CD">
      <w:pPr>
        <w:pStyle w:val="ChapterHeadingLevel1"/>
        <w:numPr>
          <w:ilvl w:val="0"/>
          <w:numId w:val="44"/>
        </w:numPr>
        <w:jc w:val="both"/>
        <w:rPr>
          <w:color w:val="242424"/>
          <w:spacing w:val="0"/>
          <w:position w:val="0"/>
          <w:sz w:val="24"/>
        </w:rPr>
      </w:pPr>
      <w:r w:rsidRPr="007571CD">
        <w:rPr>
          <w:color w:val="242424"/>
          <w:spacing w:val="0"/>
          <w:position w:val="0"/>
          <w:sz w:val="24"/>
        </w:rPr>
        <w:t>Repealing</w:t>
      </w:r>
      <w:r w:rsidR="006E6BB6" w:rsidRPr="007571CD">
        <w:rPr>
          <w:color w:val="242424"/>
          <w:spacing w:val="0"/>
          <w:position w:val="0"/>
          <w:sz w:val="24"/>
        </w:rPr>
        <w:t xml:space="preserve"> or</w:t>
      </w:r>
      <w:r w:rsidR="00E05907" w:rsidRPr="007571CD">
        <w:rPr>
          <w:color w:val="242424"/>
          <w:spacing w:val="0"/>
          <w:position w:val="0"/>
          <w:sz w:val="24"/>
        </w:rPr>
        <w:t xml:space="preserve"> amend</w:t>
      </w:r>
      <w:r w:rsidR="006E6BB6" w:rsidRPr="007571CD">
        <w:rPr>
          <w:color w:val="242424"/>
          <w:spacing w:val="0"/>
          <w:position w:val="0"/>
          <w:sz w:val="24"/>
        </w:rPr>
        <w:t>ing</w:t>
      </w:r>
      <w:r w:rsidR="00E05907" w:rsidRPr="007571CD">
        <w:rPr>
          <w:color w:val="242424"/>
          <w:spacing w:val="0"/>
          <w:position w:val="0"/>
          <w:sz w:val="24"/>
        </w:rPr>
        <w:t xml:space="preserve"> outdated provisions. A number of stakeholders identified specific areas of the Act.</w:t>
      </w:r>
      <w:r w:rsidRPr="007571CD">
        <w:rPr>
          <w:color w:val="242424"/>
          <w:spacing w:val="0"/>
          <w:position w:val="0"/>
          <w:sz w:val="24"/>
        </w:rPr>
        <w:t xml:space="preserve"> </w:t>
      </w:r>
    </w:p>
    <w:p w14:paraId="77CD131B" w14:textId="2E7E36A2" w:rsidR="007571CD" w:rsidRDefault="007571CD" w:rsidP="007571CD">
      <w:pPr>
        <w:pStyle w:val="ChapterHeadingLevel1"/>
        <w:numPr>
          <w:ilvl w:val="0"/>
          <w:numId w:val="44"/>
        </w:numPr>
        <w:jc w:val="both"/>
        <w:rPr>
          <w:color w:val="242424"/>
          <w:spacing w:val="0"/>
          <w:position w:val="0"/>
          <w:sz w:val="24"/>
        </w:rPr>
      </w:pPr>
      <w:r w:rsidRPr="007571CD">
        <w:rPr>
          <w:color w:val="242424"/>
          <w:spacing w:val="0"/>
          <w:position w:val="0"/>
          <w:sz w:val="24"/>
        </w:rPr>
        <w:t>Review</w:t>
      </w:r>
      <w:r w:rsidR="00AD6B91">
        <w:rPr>
          <w:color w:val="242424"/>
          <w:spacing w:val="0"/>
          <w:position w:val="0"/>
          <w:sz w:val="24"/>
        </w:rPr>
        <w:t xml:space="preserve">ing </w:t>
      </w:r>
      <w:r>
        <w:rPr>
          <w:color w:val="242424"/>
          <w:spacing w:val="0"/>
          <w:position w:val="0"/>
          <w:sz w:val="24"/>
        </w:rPr>
        <w:t xml:space="preserve">the ESI Act to remove areas of residual regulatory duplication between the Office of Tasmanian Economic Regulator and the Australian Energy Regulator. </w:t>
      </w:r>
    </w:p>
    <w:p w14:paraId="36EE14EB" w14:textId="77D3F9A6" w:rsidR="007571CD" w:rsidRDefault="007571CD" w:rsidP="007571CD">
      <w:pPr>
        <w:pStyle w:val="ChapterHeadingLevel1"/>
        <w:ind w:left="360"/>
        <w:jc w:val="both"/>
        <w:rPr>
          <w:b/>
          <w:color w:val="242424"/>
          <w:spacing w:val="0"/>
          <w:position w:val="0"/>
          <w:sz w:val="24"/>
        </w:rPr>
      </w:pPr>
      <w:r>
        <w:rPr>
          <w:b/>
          <w:color w:val="242424"/>
          <w:spacing w:val="0"/>
          <w:position w:val="0"/>
          <w:sz w:val="24"/>
        </w:rPr>
        <w:t xml:space="preserve">Ensuring </w:t>
      </w:r>
      <w:r w:rsidR="004400C0">
        <w:rPr>
          <w:b/>
          <w:color w:val="242424"/>
          <w:spacing w:val="0"/>
          <w:position w:val="0"/>
          <w:sz w:val="24"/>
        </w:rPr>
        <w:t xml:space="preserve">the </w:t>
      </w:r>
      <w:r>
        <w:rPr>
          <w:b/>
          <w:color w:val="242424"/>
          <w:spacing w:val="0"/>
          <w:position w:val="0"/>
          <w:sz w:val="24"/>
        </w:rPr>
        <w:t>new Act recognises and accommodates changes in technology and innovation</w:t>
      </w:r>
      <w:r w:rsidR="00AD6B91">
        <w:rPr>
          <w:b/>
          <w:color w:val="242424"/>
          <w:spacing w:val="0"/>
          <w:position w:val="0"/>
          <w:sz w:val="24"/>
        </w:rPr>
        <w:t xml:space="preserve"> in the energy market</w:t>
      </w:r>
    </w:p>
    <w:p w14:paraId="14C9A89A" w14:textId="77777777" w:rsidR="007571CD" w:rsidRDefault="007571CD" w:rsidP="007571CD">
      <w:pPr>
        <w:pStyle w:val="ChapterHeadingLevel1"/>
        <w:numPr>
          <w:ilvl w:val="0"/>
          <w:numId w:val="47"/>
        </w:numPr>
        <w:jc w:val="both"/>
        <w:rPr>
          <w:color w:val="242424"/>
          <w:spacing w:val="0"/>
          <w:position w:val="0"/>
          <w:sz w:val="24"/>
        </w:rPr>
      </w:pPr>
      <w:r w:rsidRPr="007571CD">
        <w:rPr>
          <w:color w:val="242424"/>
          <w:spacing w:val="0"/>
          <w:position w:val="0"/>
          <w:sz w:val="24"/>
        </w:rPr>
        <w:t>There is a need to modernise</w:t>
      </w:r>
      <w:r w:rsidR="00E05907" w:rsidRPr="007571CD">
        <w:rPr>
          <w:color w:val="242424"/>
          <w:spacing w:val="0"/>
          <w:position w:val="0"/>
          <w:sz w:val="24"/>
        </w:rPr>
        <w:t xml:space="preserve"> the operations of the ESI Act, particularly those aspects related to changes in technology and changed market roles such as 2017 Power of Choice National Energy Market rule changes. </w:t>
      </w:r>
    </w:p>
    <w:p w14:paraId="19CDCF00" w14:textId="10598CE5" w:rsidR="00E05907" w:rsidRDefault="00AD6B91" w:rsidP="007571CD">
      <w:pPr>
        <w:pStyle w:val="ChapterHeadingLevel1"/>
        <w:numPr>
          <w:ilvl w:val="0"/>
          <w:numId w:val="47"/>
        </w:numPr>
        <w:jc w:val="both"/>
        <w:rPr>
          <w:color w:val="242424"/>
          <w:spacing w:val="0"/>
          <w:position w:val="0"/>
          <w:sz w:val="24"/>
        </w:rPr>
      </w:pPr>
      <w:r>
        <w:rPr>
          <w:color w:val="242424"/>
          <w:spacing w:val="0"/>
          <w:position w:val="0"/>
          <w:sz w:val="24"/>
        </w:rPr>
        <w:lastRenderedPageBreak/>
        <w:t xml:space="preserve">There has </w:t>
      </w:r>
      <w:r w:rsidR="004400C0">
        <w:rPr>
          <w:color w:val="242424"/>
          <w:spacing w:val="0"/>
          <w:position w:val="0"/>
          <w:sz w:val="24"/>
        </w:rPr>
        <w:t xml:space="preserve">been </w:t>
      </w:r>
      <w:r>
        <w:rPr>
          <w:color w:val="242424"/>
          <w:spacing w:val="0"/>
          <w:position w:val="0"/>
          <w:sz w:val="24"/>
        </w:rPr>
        <w:t xml:space="preserve">considerable </w:t>
      </w:r>
      <w:r w:rsidR="004400C0">
        <w:rPr>
          <w:color w:val="242424"/>
          <w:spacing w:val="0"/>
          <w:position w:val="0"/>
          <w:sz w:val="24"/>
        </w:rPr>
        <w:t xml:space="preserve">change </w:t>
      </w:r>
      <w:r w:rsidR="00E05907" w:rsidRPr="007571CD">
        <w:rPr>
          <w:color w:val="242424"/>
          <w:spacing w:val="0"/>
          <w:position w:val="0"/>
          <w:sz w:val="24"/>
        </w:rPr>
        <w:t xml:space="preserve">in the electricity market since the ESI Act was initially drafted. New technology changes are occurring that will allow energy customers greater options in relation to how they interact with the electricity network and markets. Therefore changes in legislation will be required to enable customers to make the most of these opportunities. </w:t>
      </w:r>
    </w:p>
    <w:p w14:paraId="54CFD2C7" w14:textId="77777777" w:rsidR="00AD6B91" w:rsidRDefault="00AD6B91" w:rsidP="00AD6B91">
      <w:pPr>
        <w:pStyle w:val="ChapterHeadingLevel1"/>
        <w:numPr>
          <w:ilvl w:val="0"/>
          <w:numId w:val="47"/>
        </w:numPr>
        <w:jc w:val="both"/>
        <w:rPr>
          <w:color w:val="242424"/>
          <w:spacing w:val="0"/>
          <w:position w:val="0"/>
          <w:sz w:val="24"/>
        </w:rPr>
      </w:pPr>
      <w:r>
        <w:rPr>
          <w:color w:val="242424"/>
          <w:spacing w:val="0"/>
          <w:position w:val="0"/>
          <w:sz w:val="24"/>
        </w:rPr>
        <w:t>The changing nature of the electricity network, for example through increased numbers of customers using Stand Alone Power Systems (SAPS)</w:t>
      </w:r>
      <w:r w:rsidRPr="00956ADD">
        <w:rPr>
          <w:color w:val="242424"/>
          <w:spacing w:val="0"/>
          <w:position w:val="0"/>
          <w:sz w:val="24"/>
        </w:rPr>
        <w:t xml:space="preserve"> </w:t>
      </w:r>
      <w:r>
        <w:rPr>
          <w:color w:val="242424"/>
          <w:spacing w:val="0"/>
          <w:position w:val="0"/>
          <w:sz w:val="24"/>
        </w:rPr>
        <w:t>will require an agile and innovative response to meet customer needs. The review presents an opportunity to ensure legislative arrangements are flexible enough to meet future needs.</w:t>
      </w:r>
    </w:p>
    <w:p w14:paraId="335812A3" w14:textId="4A735B69" w:rsidR="00AD6B91" w:rsidRPr="00AD6B91" w:rsidRDefault="00AD6B91" w:rsidP="00AD6B91">
      <w:pPr>
        <w:pStyle w:val="ChapterHeadingLevel1"/>
        <w:jc w:val="both"/>
        <w:rPr>
          <w:b/>
          <w:color w:val="242424"/>
          <w:spacing w:val="0"/>
          <w:position w:val="0"/>
          <w:sz w:val="24"/>
        </w:rPr>
      </w:pPr>
      <w:r>
        <w:rPr>
          <w:b/>
          <w:color w:val="242424"/>
          <w:spacing w:val="0"/>
          <w:position w:val="0"/>
          <w:sz w:val="24"/>
        </w:rPr>
        <w:t>Ensuring Energy businesses have the statutory and legislative underpinning to carry out their operations</w:t>
      </w:r>
    </w:p>
    <w:p w14:paraId="078AE249" w14:textId="77777777" w:rsidR="00E05907" w:rsidRPr="007571CD" w:rsidRDefault="00E05907" w:rsidP="00E05907">
      <w:pPr>
        <w:pStyle w:val="ChapterHeadingLevel1"/>
        <w:numPr>
          <w:ilvl w:val="0"/>
          <w:numId w:val="44"/>
        </w:numPr>
        <w:jc w:val="both"/>
        <w:rPr>
          <w:color w:val="242424"/>
          <w:spacing w:val="0"/>
          <w:position w:val="0"/>
          <w:sz w:val="24"/>
        </w:rPr>
      </w:pPr>
      <w:r w:rsidRPr="007571CD">
        <w:rPr>
          <w:color w:val="242424"/>
          <w:spacing w:val="0"/>
          <w:position w:val="0"/>
          <w:sz w:val="24"/>
        </w:rPr>
        <w:t xml:space="preserve">The role of Metering Coordinator needs to be recognised in the legislation. </w:t>
      </w:r>
    </w:p>
    <w:p w14:paraId="7617AF3B" w14:textId="77777777" w:rsidR="00E05907" w:rsidRPr="007571CD" w:rsidRDefault="00E05907" w:rsidP="00E05907">
      <w:pPr>
        <w:pStyle w:val="ChapterHeadingLevel1"/>
        <w:numPr>
          <w:ilvl w:val="0"/>
          <w:numId w:val="44"/>
        </w:numPr>
        <w:jc w:val="both"/>
        <w:rPr>
          <w:color w:val="242424"/>
          <w:spacing w:val="0"/>
          <w:position w:val="0"/>
          <w:sz w:val="24"/>
        </w:rPr>
      </w:pPr>
      <w:r w:rsidRPr="007571CD">
        <w:rPr>
          <w:color w:val="242424"/>
          <w:spacing w:val="0"/>
          <w:position w:val="0"/>
          <w:sz w:val="24"/>
        </w:rPr>
        <w:t xml:space="preserve">Land access – the ability of energy entities to access private land to inspect/maintain electrical assets on private property needs enhanced statutory underpinning. </w:t>
      </w:r>
    </w:p>
    <w:p w14:paraId="05AA6ACA" w14:textId="5019A420" w:rsidR="00E05907" w:rsidRDefault="00A769E7" w:rsidP="00E05907">
      <w:pPr>
        <w:pStyle w:val="ChapterHeadingLevel1"/>
        <w:numPr>
          <w:ilvl w:val="0"/>
          <w:numId w:val="44"/>
        </w:numPr>
        <w:jc w:val="both"/>
        <w:rPr>
          <w:color w:val="242424"/>
          <w:spacing w:val="0"/>
          <w:position w:val="0"/>
          <w:sz w:val="24"/>
        </w:rPr>
      </w:pPr>
      <w:r>
        <w:rPr>
          <w:color w:val="242424"/>
          <w:spacing w:val="0"/>
          <w:position w:val="0"/>
          <w:sz w:val="24"/>
        </w:rPr>
        <w:t xml:space="preserve">A </w:t>
      </w:r>
      <w:r w:rsidR="00E05907" w:rsidRPr="007571CD">
        <w:rPr>
          <w:color w:val="242424"/>
          <w:spacing w:val="0"/>
          <w:position w:val="0"/>
          <w:sz w:val="24"/>
        </w:rPr>
        <w:t xml:space="preserve">New Act should provide </w:t>
      </w:r>
      <w:proofErr w:type="spellStart"/>
      <w:r w:rsidR="00E05907" w:rsidRPr="007571CD">
        <w:rPr>
          <w:color w:val="242424"/>
          <w:spacing w:val="0"/>
          <w:position w:val="0"/>
          <w:sz w:val="24"/>
        </w:rPr>
        <w:t>TasNetworks</w:t>
      </w:r>
      <w:proofErr w:type="spellEnd"/>
      <w:r w:rsidR="00E05907" w:rsidRPr="007571CD">
        <w:rPr>
          <w:color w:val="242424"/>
          <w:spacing w:val="0"/>
          <w:position w:val="0"/>
          <w:sz w:val="24"/>
        </w:rPr>
        <w:t xml:space="preserve"> with a clear legislative basis and statutory rights to perform inspections of private electrical infrastructure.  </w:t>
      </w:r>
    </w:p>
    <w:p w14:paraId="4686B492" w14:textId="38CA0E52" w:rsidR="00AD6B91" w:rsidRPr="00AD6B91" w:rsidRDefault="00AD6B91" w:rsidP="00AD6B91">
      <w:pPr>
        <w:pStyle w:val="ChapterHeadingLevel1"/>
        <w:jc w:val="both"/>
        <w:rPr>
          <w:b/>
          <w:color w:val="242424"/>
          <w:spacing w:val="0"/>
          <w:position w:val="0"/>
          <w:sz w:val="24"/>
        </w:rPr>
      </w:pPr>
      <w:r w:rsidRPr="00AD6B91">
        <w:rPr>
          <w:b/>
          <w:color w:val="242424"/>
          <w:spacing w:val="0"/>
          <w:position w:val="0"/>
          <w:sz w:val="24"/>
        </w:rPr>
        <w:t>Other issues raised by stakeholders</w:t>
      </w:r>
    </w:p>
    <w:p w14:paraId="75CF80B3" w14:textId="65C0D5C6" w:rsidR="00E05907" w:rsidRPr="00FD01F7" w:rsidRDefault="00E05907" w:rsidP="00E05907">
      <w:pPr>
        <w:pStyle w:val="ChapterHeadingLevel1"/>
        <w:numPr>
          <w:ilvl w:val="0"/>
          <w:numId w:val="44"/>
        </w:numPr>
        <w:jc w:val="both"/>
        <w:rPr>
          <w:color w:val="auto"/>
          <w:spacing w:val="0"/>
          <w:position w:val="0"/>
          <w:sz w:val="24"/>
        </w:rPr>
      </w:pPr>
      <w:r w:rsidRPr="00FD01F7">
        <w:rPr>
          <w:color w:val="auto"/>
          <w:spacing w:val="0"/>
          <w:position w:val="0"/>
          <w:sz w:val="24"/>
        </w:rPr>
        <w:t>La</w:t>
      </w:r>
      <w:r>
        <w:rPr>
          <w:color w:val="auto"/>
          <w:spacing w:val="0"/>
          <w:position w:val="0"/>
          <w:sz w:val="24"/>
        </w:rPr>
        <w:t xml:space="preserve">nd acquisition powers – </w:t>
      </w:r>
      <w:r w:rsidR="009903C1">
        <w:rPr>
          <w:color w:val="auto"/>
          <w:spacing w:val="0"/>
          <w:position w:val="0"/>
          <w:sz w:val="24"/>
        </w:rPr>
        <w:t>one respondent</w:t>
      </w:r>
      <w:r w:rsidRPr="00FD01F7">
        <w:rPr>
          <w:color w:val="auto"/>
          <w:spacing w:val="0"/>
          <w:position w:val="0"/>
          <w:sz w:val="24"/>
        </w:rPr>
        <w:t xml:space="preserve"> </w:t>
      </w:r>
      <w:r w:rsidR="009903C1">
        <w:rPr>
          <w:color w:val="auto"/>
          <w:spacing w:val="0"/>
          <w:position w:val="0"/>
          <w:sz w:val="24"/>
        </w:rPr>
        <w:t>stated that</w:t>
      </w:r>
      <w:r w:rsidR="009903C1" w:rsidRPr="00FD01F7">
        <w:rPr>
          <w:color w:val="auto"/>
          <w:spacing w:val="0"/>
          <w:position w:val="0"/>
          <w:sz w:val="24"/>
        </w:rPr>
        <w:t xml:space="preserve"> </w:t>
      </w:r>
      <w:r w:rsidRPr="00FD01F7">
        <w:rPr>
          <w:color w:val="auto"/>
          <w:spacing w:val="0"/>
          <w:position w:val="0"/>
          <w:sz w:val="24"/>
        </w:rPr>
        <w:t xml:space="preserve">the Act needs to be amended so that it is specified that only publically owned electrical entities are able to acquire land for electricity infrastructure. </w:t>
      </w:r>
    </w:p>
    <w:p w14:paraId="34895182" w14:textId="77777777" w:rsidR="00E05907" w:rsidRDefault="00E05907" w:rsidP="00E05907">
      <w:pPr>
        <w:pStyle w:val="ChapterHeadingLevel1"/>
        <w:numPr>
          <w:ilvl w:val="0"/>
          <w:numId w:val="44"/>
        </w:numPr>
        <w:jc w:val="both"/>
        <w:rPr>
          <w:color w:val="242424"/>
          <w:spacing w:val="0"/>
          <w:position w:val="0"/>
          <w:sz w:val="24"/>
        </w:rPr>
      </w:pPr>
      <w:r>
        <w:rPr>
          <w:color w:val="242424"/>
          <w:spacing w:val="0"/>
          <w:position w:val="0"/>
          <w:sz w:val="24"/>
        </w:rPr>
        <w:t xml:space="preserve">The new electricity Act should specify that new renewable energy projects (in particular windfarms) should use existing infrastructure and collocate where possible and avoid public reserved lands for construction/acquisition. </w:t>
      </w:r>
    </w:p>
    <w:p w14:paraId="1308B315" w14:textId="13A911A3" w:rsidR="00E05907" w:rsidRDefault="00A769E7" w:rsidP="00E05907">
      <w:pPr>
        <w:pStyle w:val="ChapterHeadingLevel1"/>
        <w:numPr>
          <w:ilvl w:val="0"/>
          <w:numId w:val="44"/>
        </w:numPr>
        <w:jc w:val="both"/>
        <w:rPr>
          <w:color w:val="242424"/>
          <w:spacing w:val="0"/>
          <w:position w:val="0"/>
          <w:sz w:val="24"/>
        </w:rPr>
      </w:pPr>
      <w:r>
        <w:rPr>
          <w:color w:val="242424"/>
          <w:spacing w:val="0"/>
          <w:position w:val="0"/>
          <w:sz w:val="24"/>
        </w:rPr>
        <w:t xml:space="preserve"> A </w:t>
      </w:r>
      <w:r w:rsidR="00E05907">
        <w:rPr>
          <w:color w:val="242424"/>
          <w:spacing w:val="0"/>
          <w:position w:val="0"/>
          <w:sz w:val="24"/>
        </w:rPr>
        <w:t>New Act must be able to be flexible enough to take into account current and future changes in technology.</w:t>
      </w:r>
    </w:p>
    <w:p w14:paraId="30F8811C" w14:textId="06A205B3" w:rsidR="0005680C" w:rsidRPr="00AD6B91" w:rsidRDefault="0005680C" w:rsidP="00E05907">
      <w:pPr>
        <w:pStyle w:val="ChapterHeadingLevel1"/>
        <w:numPr>
          <w:ilvl w:val="0"/>
          <w:numId w:val="44"/>
        </w:numPr>
        <w:jc w:val="both"/>
        <w:rPr>
          <w:color w:val="242424"/>
          <w:spacing w:val="0"/>
          <w:position w:val="0"/>
          <w:sz w:val="24"/>
        </w:rPr>
      </w:pPr>
      <w:r w:rsidRPr="00801924">
        <w:rPr>
          <w:color w:val="242424"/>
          <w:spacing w:val="0"/>
          <w:position w:val="0"/>
          <w:sz w:val="24"/>
        </w:rPr>
        <w:t xml:space="preserve">Overall the ESI Act functions adequately in articulating and supporting Tasmania’s electricity market. There is no major market failure associated with the ESI Act. </w:t>
      </w:r>
    </w:p>
    <w:p w14:paraId="395AA561" w14:textId="77777777" w:rsidR="00E05907" w:rsidRPr="004D031B" w:rsidRDefault="00E05907" w:rsidP="00E05907">
      <w:pPr>
        <w:pStyle w:val="ChapterHeadingLevel1"/>
        <w:jc w:val="both"/>
        <w:rPr>
          <w:color w:val="242424"/>
          <w:spacing w:val="0"/>
          <w:position w:val="0"/>
          <w:sz w:val="24"/>
        </w:rPr>
      </w:pPr>
      <w:r w:rsidRPr="004D031B">
        <w:t>Next steps</w:t>
      </w:r>
    </w:p>
    <w:p w14:paraId="658753C7" w14:textId="319A34BA" w:rsidR="00E05907" w:rsidRDefault="00E05907" w:rsidP="00E05907">
      <w:r>
        <w:t xml:space="preserve">The ESI Working Group is considering the submissions received from stakeholders. The Department of State Growth </w:t>
      </w:r>
      <w:r w:rsidR="0005680C">
        <w:t xml:space="preserve">will continue to </w:t>
      </w:r>
      <w:r w:rsidR="00120ACF">
        <w:t xml:space="preserve">undertake </w:t>
      </w:r>
      <w:r w:rsidR="004A5AE9">
        <w:t>targeted</w:t>
      </w:r>
      <w:r w:rsidR="00120ACF">
        <w:t xml:space="preserve"> </w:t>
      </w:r>
      <w:r w:rsidR="0005680C">
        <w:t>consult</w:t>
      </w:r>
      <w:r w:rsidR="00120ACF">
        <w:t>ation</w:t>
      </w:r>
      <w:r w:rsidR="0005680C">
        <w:t xml:space="preserve"> </w:t>
      </w:r>
      <w:r>
        <w:t>with</w:t>
      </w:r>
      <w:r w:rsidR="00120ACF">
        <w:t xml:space="preserve"> key stakeholders</w:t>
      </w:r>
      <w:r>
        <w:t xml:space="preserve"> which will </w:t>
      </w:r>
      <w:r>
        <w:lastRenderedPageBreak/>
        <w:t xml:space="preserve">include generators, network service providers, retailers, other market participants, consumer groups, and major energy consumers with direct market exposure. The Tasmanian Economic Regulator, the national market bodies, other Tasmanian Government agencies, and other parties will also be consulted as appropriate. </w:t>
      </w:r>
    </w:p>
    <w:p w14:paraId="5BFAAD03" w14:textId="1DC02BF7" w:rsidR="00E05907" w:rsidRDefault="00E05907" w:rsidP="00E05907">
      <w:r>
        <w:t xml:space="preserve">Once considered by the Government proposed changes to the ESI Act </w:t>
      </w:r>
      <w:r w:rsidR="009903C1">
        <w:t xml:space="preserve">and a draft Bill </w:t>
      </w:r>
      <w:r>
        <w:t>will be subject to a period of further consultation with market participants and relevant stakeholders to obtain views and comments in relation to the potential impact of any proposed changes, and to ensure that the implementation of these changes is as smooth as possible.</w:t>
      </w:r>
    </w:p>
    <w:p w14:paraId="3ACC3F2E" w14:textId="77777777" w:rsidR="00E05907" w:rsidRDefault="00E05907" w:rsidP="00E05907"/>
    <w:p w14:paraId="48A0A18D" w14:textId="77777777" w:rsidR="00E05907" w:rsidRDefault="00E05907" w:rsidP="00E05907"/>
    <w:p w14:paraId="55626FE5" w14:textId="77777777" w:rsidR="00E05907" w:rsidRDefault="00E05907" w:rsidP="00E05907"/>
    <w:p w14:paraId="3C6B7D95" w14:textId="77777777" w:rsidR="00E05907" w:rsidRDefault="00E05907" w:rsidP="00E05907"/>
    <w:p w14:paraId="02BD8B5C" w14:textId="77777777" w:rsidR="00E05907" w:rsidRDefault="00E05907" w:rsidP="00E05907"/>
    <w:p w14:paraId="3C97EDD0" w14:textId="77777777" w:rsidR="00E05907" w:rsidRDefault="00E05907" w:rsidP="00E05907"/>
    <w:p w14:paraId="2B8B108B" w14:textId="77777777" w:rsidR="00E05907" w:rsidRDefault="00E05907" w:rsidP="00E05907"/>
    <w:p w14:paraId="11067605" w14:textId="77777777" w:rsidR="00E05907" w:rsidRDefault="00E05907" w:rsidP="00E05907"/>
    <w:p w14:paraId="3FEA6945" w14:textId="77777777" w:rsidR="00E05907" w:rsidRDefault="00E05907" w:rsidP="00E05907"/>
    <w:p w14:paraId="1ED55289" w14:textId="77777777" w:rsidR="00E05907" w:rsidRDefault="00E05907" w:rsidP="00E05907"/>
    <w:p w14:paraId="463A28D6" w14:textId="77777777" w:rsidR="00E05907" w:rsidRDefault="00E05907" w:rsidP="00E05907">
      <w:pPr>
        <w:pStyle w:val="ChapterHeadingLevel1"/>
        <w:jc w:val="both"/>
      </w:pPr>
    </w:p>
    <w:p w14:paraId="403D644C" w14:textId="77777777" w:rsidR="00E05907" w:rsidRDefault="00E05907" w:rsidP="00E05907">
      <w:pPr>
        <w:pStyle w:val="ChapterHeadingLevel1"/>
        <w:jc w:val="both"/>
      </w:pPr>
    </w:p>
    <w:p w14:paraId="0E3D8730" w14:textId="77777777" w:rsidR="00E05907" w:rsidRDefault="00E05907" w:rsidP="00E05907">
      <w:pPr>
        <w:pStyle w:val="ChapterHeadingLevel1"/>
        <w:jc w:val="both"/>
      </w:pPr>
    </w:p>
    <w:p w14:paraId="6977EC2A" w14:textId="77777777" w:rsidR="00E05907" w:rsidRDefault="00E05907" w:rsidP="00E05907">
      <w:pPr>
        <w:pStyle w:val="ChapterHeadingLevel1"/>
        <w:jc w:val="both"/>
      </w:pPr>
    </w:p>
    <w:p w14:paraId="38ABFC26" w14:textId="77777777" w:rsidR="00E05907" w:rsidRDefault="00E05907" w:rsidP="00E05907">
      <w:pPr>
        <w:pStyle w:val="ChapterHeadingLevel1"/>
        <w:jc w:val="both"/>
      </w:pPr>
    </w:p>
    <w:p w14:paraId="567EE7DC" w14:textId="77777777" w:rsidR="004400C0" w:rsidRDefault="004400C0" w:rsidP="00E05907">
      <w:pPr>
        <w:pStyle w:val="ChapterHeadingLevel1"/>
        <w:jc w:val="both"/>
      </w:pPr>
    </w:p>
    <w:p w14:paraId="7EC8D77F" w14:textId="77777777" w:rsidR="00B76875" w:rsidRDefault="00B76875" w:rsidP="00E05907">
      <w:pPr>
        <w:pStyle w:val="ChapterHeadingLevel1"/>
        <w:jc w:val="both"/>
      </w:pPr>
    </w:p>
    <w:p w14:paraId="78CC1CC5" w14:textId="77777777" w:rsidR="00E05907" w:rsidRPr="004D031B" w:rsidRDefault="00E05907" w:rsidP="00E05907">
      <w:pPr>
        <w:pStyle w:val="ChapterHeadingLevel1"/>
        <w:jc w:val="both"/>
        <w:rPr>
          <w:color w:val="242424"/>
          <w:spacing w:val="0"/>
          <w:position w:val="0"/>
          <w:sz w:val="24"/>
        </w:rPr>
      </w:pPr>
      <w:r>
        <w:lastRenderedPageBreak/>
        <w:t>Attachment A</w:t>
      </w:r>
    </w:p>
    <w:p w14:paraId="4978AAF3" w14:textId="77777777" w:rsidR="00E05907" w:rsidRDefault="00E05907" w:rsidP="00E05907">
      <w:pPr>
        <w:rPr>
          <w:b/>
          <w:bCs/>
        </w:rPr>
      </w:pPr>
    </w:p>
    <w:p w14:paraId="35431002" w14:textId="77777777" w:rsidR="00E05907" w:rsidRDefault="00E05907" w:rsidP="00E05907">
      <w:pPr>
        <w:rPr>
          <w:b/>
          <w:bCs/>
          <w:color w:val="auto"/>
        </w:rPr>
      </w:pPr>
      <w:r>
        <w:rPr>
          <w:b/>
          <w:bCs/>
        </w:rPr>
        <w:t>The following stakeholders provided written submissions to the consultation document:</w:t>
      </w:r>
    </w:p>
    <w:p w14:paraId="25A919FF" w14:textId="77777777" w:rsidR="00E05907" w:rsidRDefault="00E05907" w:rsidP="00E05907">
      <w:pPr>
        <w:pStyle w:val="ListParagraph"/>
        <w:numPr>
          <w:ilvl w:val="0"/>
          <w:numId w:val="45"/>
        </w:numPr>
        <w:spacing w:before="100" w:beforeAutospacing="1" w:after="100" w:afterAutospacing="1" w:line="240" w:lineRule="auto"/>
      </w:pPr>
      <w:proofErr w:type="spellStart"/>
      <w:r>
        <w:t>TasNetworks</w:t>
      </w:r>
      <w:proofErr w:type="spellEnd"/>
    </w:p>
    <w:p w14:paraId="635724F3" w14:textId="77777777" w:rsidR="00E05907" w:rsidRDefault="00E05907" w:rsidP="00E05907">
      <w:pPr>
        <w:pStyle w:val="ListParagraph"/>
        <w:numPr>
          <w:ilvl w:val="0"/>
          <w:numId w:val="45"/>
        </w:numPr>
        <w:spacing w:before="100" w:beforeAutospacing="1" w:after="100" w:afterAutospacing="1" w:line="240" w:lineRule="auto"/>
      </w:pPr>
      <w:r>
        <w:t xml:space="preserve">Aurora Energy </w:t>
      </w:r>
    </w:p>
    <w:p w14:paraId="21316BE6" w14:textId="77777777" w:rsidR="00E05907" w:rsidRDefault="00E05907" w:rsidP="00E05907">
      <w:pPr>
        <w:pStyle w:val="ListParagraph"/>
        <w:numPr>
          <w:ilvl w:val="0"/>
          <w:numId w:val="45"/>
        </w:numPr>
        <w:spacing w:before="100" w:beforeAutospacing="1" w:after="100" w:afterAutospacing="1" w:line="240" w:lineRule="auto"/>
      </w:pPr>
      <w:r>
        <w:t>Tasmanian Farmers and Graziers Association (TFGA)</w:t>
      </w:r>
    </w:p>
    <w:p w14:paraId="0005266F" w14:textId="77777777" w:rsidR="00E05907" w:rsidRDefault="00E05907" w:rsidP="00E05907">
      <w:pPr>
        <w:pStyle w:val="ListParagraph"/>
        <w:numPr>
          <w:ilvl w:val="0"/>
          <w:numId w:val="45"/>
        </w:numPr>
        <w:spacing w:before="100" w:beforeAutospacing="1" w:after="100" w:afterAutospacing="1" w:line="240" w:lineRule="auto"/>
      </w:pPr>
      <w:r>
        <w:t>Highland Conservation Pty Ltd</w:t>
      </w:r>
    </w:p>
    <w:p w14:paraId="60A01590" w14:textId="77777777" w:rsidR="00E05907" w:rsidRDefault="00E05907" w:rsidP="00E05907">
      <w:pPr>
        <w:pStyle w:val="ListParagraph"/>
        <w:numPr>
          <w:ilvl w:val="0"/>
          <w:numId w:val="45"/>
        </w:numPr>
        <w:spacing w:before="100" w:beforeAutospacing="1" w:after="100" w:afterAutospacing="1" w:line="240" w:lineRule="auto"/>
      </w:pPr>
      <w:r>
        <w:t>Mr John Thompson</w:t>
      </w:r>
    </w:p>
    <w:p w14:paraId="786819B7" w14:textId="77777777" w:rsidR="00E05907" w:rsidRDefault="00E05907" w:rsidP="00E05907">
      <w:pPr>
        <w:pStyle w:val="ListParagraph"/>
        <w:numPr>
          <w:ilvl w:val="0"/>
          <w:numId w:val="45"/>
        </w:numPr>
        <w:spacing w:before="100" w:beforeAutospacing="1" w:after="100" w:afterAutospacing="1" w:line="240" w:lineRule="auto"/>
      </w:pPr>
      <w:r>
        <w:t>Dr Romy Greiner</w:t>
      </w:r>
    </w:p>
    <w:p w14:paraId="4CAF7877" w14:textId="77777777" w:rsidR="00E05907" w:rsidRDefault="00E05907" w:rsidP="00E05907">
      <w:pPr>
        <w:pStyle w:val="ListParagraph"/>
        <w:numPr>
          <w:ilvl w:val="0"/>
          <w:numId w:val="45"/>
        </w:numPr>
        <w:spacing w:before="100" w:beforeAutospacing="1" w:after="100" w:afterAutospacing="1" w:line="240" w:lineRule="auto"/>
      </w:pPr>
      <w:r>
        <w:t>Energy Ombudsman</w:t>
      </w:r>
    </w:p>
    <w:p w14:paraId="62A56963" w14:textId="77777777" w:rsidR="00B76875" w:rsidRDefault="00B76875" w:rsidP="00B76875">
      <w:pPr>
        <w:pStyle w:val="ListParagraph"/>
        <w:numPr>
          <w:ilvl w:val="0"/>
          <w:numId w:val="45"/>
        </w:numPr>
        <w:spacing w:before="100" w:beforeAutospacing="1" w:after="100" w:afterAutospacing="1" w:line="240" w:lineRule="auto"/>
      </w:pPr>
      <w:r>
        <w:t xml:space="preserve">Hydro Tasmania </w:t>
      </w:r>
    </w:p>
    <w:p w14:paraId="6B66D279" w14:textId="77777777" w:rsidR="00B76875" w:rsidRDefault="00B76875" w:rsidP="00B76875">
      <w:pPr>
        <w:pStyle w:val="ListParagraph"/>
        <w:spacing w:before="100" w:beforeAutospacing="1" w:after="100" w:afterAutospacing="1" w:line="240" w:lineRule="auto"/>
      </w:pPr>
    </w:p>
    <w:p w14:paraId="13C7ADF6" w14:textId="77777777" w:rsidR="00E05907" w:rsidRDefault="00E05907" w:rsidP="00491E8A">
      <w:pPr>
        <w:pStyle w:val="HeadingLevel1"/>
      </w:pPr>
    </w:p>
    <w:bookmarkEnd w:id="2"/>
    <w:p w14:paraId="671F2C27" w14:textId="77777777" w:rsidR="00DE5B06" w:rsidRDefault="00DE5B06" w:rsidP="00CA4DC0">
      <w:pPr>
        <w:spacing w:after="0" w:line="240" w:lineRule="auto"/>
      </w:pPr>
    </w:p>
    <w:p w14:paraId="253A7F4C" w14:textId="77777777" w:rsidR="00797FE0" w:rsidRDefault="00797FE0" w:rsidP="00CA4DC0">
      <w:pPr>
        <w:spacing w:after="0" w:line="240" w:lineRule="auto"/>
        <w:sectPr w:rsidR="00797FE0" w:rsidSect="00865F17">
          <w:footerReference w:type="first" r:id="rId10"/>
          <w:pgSz w:w="11904" w:h="16834" w:code="9"/>
          <w:pgMar w:top="1418" w:right="1131" w:bottom="851" w:left="993" w:header="454" w:footer="567" w:gutter="0"/>
          <w:pgNumType w:start="1"/>
          <w:cols w:space="708"/>
          <w:titlePg/>
          <w:docGrid w:linePitch="286"/>
        </w:sectPr>
      </w:pPr>
    </w:p>
    <w:p w14:paraId="49283A34" w14:textId="6DBA5ABE" w:rsidR="00797FE0" w:rsidRDefault="00797FE0" w:rsidP="00E05907">
      <w:pPr>
        <w:spacing w:after="0" w:line="240" w:lineRule="auto"/>
        <w:sectPr w:rsidR="00797FE0" w:rsidSect="00797FE0">
          <w:type w:val="continuous"/>
          <w:pgSz w:w="11904" w:h="16834" w:code="9"/>
          <w:pgMar w:top="1418" w:right="705" w:bottom="851" w:left="993" w:header="454" w:footer="567" w:gutter="0"/>
          <w:pgNumType w:start="1"/>
          <w:cols w:space="708"/>
          <w:titlePg/>
          <w:docGrid w:linePitch="286"/>
        </w:sectPr>
      </w:pPr>
    </w:p>
    <w:p w14:paraId="167A67B3" w14:textId="1B90F3D4" w:rsidR="00E10BBE" w:rsidRPr="00E10BBE" w:rsidRDefault="000763CA" w:rsidP="00214773">
      <w:pPr>
        <w:jc w:val="left"/>
      </w:pPr>
      <w:r>
        <w:rPr>
          <w:noProof/>
          <w:lang w:eastAsia="en-AU"/>
        </w:rPr>
        <w:lastRenderedPageBreak/>
        <w:drawing>
          <wp:anchor distT="0" distB="0" distL="114300" distR="114300" simplePos="0" relativeHeight="251658240" behindDoc="1" locked="0" layoutInCell="1" allowOverlap="1" wp14:anchorId="69D2DF90" wp14:editId="39649457">
            <wp:simplePos x="0" y="0"/>
            <wp:positionH relativeFrom="page">
              <wp:align>right</wp:align>
            </wp:positionH>
            <wp:positionV relativeFrom="paragraph">
              <wp:posOffset>-1110615</wp:posOffset>
            </wp:positionV>
            <wp:extent cx="7562850" cy="1069588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olar Tariff covers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2850" cy="10695883"/>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tblpY="2520"/>
        <w:tblW w:w="0" w:type="auto"/>
        <w:tblLook w:val="04A0" w:firstRow="1" w:lastRow="0" w:firstColumn="1" w:lastColumn="0" w:noHBand="0" w:noVBand="1"/>
      </w:tblPr>
      <w:tblGrid>
        <w:gridCol w:w="2835"/>
        <w:gridCol w:w="879"/>
        <w:gridCol w:w="5500"/>
      </w:tblGrid>
      <w:tr w:rsidR="00FF4965" w14:paraId="4731DC4C" w14:textId="77777777" w:rsidTr="00FF4965">
        <w:trPr>
          <w:cnfStyle w:val="100000000000" w:firstRow="1" w:lastRow="0" w:firstColumn="0" w:lastColumn="0" w:oddVBand="0" w:evenVBand="0" w:oddHBand="0"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2835" w:type="dxa"/>
            <w:vMerge w:val="restart"/>
            <w:shd w:val="clear" w:color="auto" w:fill="auto"/>
          </w:tcPr>
          <w:p w14:paraId="31E2E3CE" w14:textId="5A11829A" w:rsidR="00FF4965" w:rsidRPr="003F6291" w:rsidRDefault="00FF4965" w:rsidP="00FF4965">
            <w:pPr>
              <w:pStyle w:val="BackPage"/>
            </w:pPr>
          </w:p>
        </w:tc>
        <w:tc>
          <w:tcPr>
            <w:tcW w:w="6379" w:type="dxa"/>
            <w:gridSpan w:val="2"/>
            <w:shd w:val="clear" w:color="auto" w:fill="auto"/>
          </w:tcPr>
          <w:p w14:paraId="684A27BB" w14:textId="77777777" w:rsidR="00FF4965" w:rsidRPr="00DE5B06" w:rsidRDefault="00FF4965" w:rsidP="00FF4965">
            <w:pPr>
              <w:pStyle w:val="BackPage"/>
              <w:cnfStyle w:val="100000000000" w:firstRow="1" w:lastRow="0" w:firstColumn="0" w:lastColumn="0" w:oddVBand="0" w:evenVBand="0" w:oddHBand="0" w:evenHBand="0" w:firstRowFirstColumn="0" w:firstRowLastColumn="0" w:lastRowFirstColumn="0" w:lastRowLastColumn="0"/>
              <w:rPr>
                <w:rFonts w:ascii="Gill Sans MT" w:hAnsi="Gill Sans MT"/>
                <w:color w:val="FFFFFF" w:themeColor="background1"/>
              </w:rPr>
            </w:pPr>
            <w:r w:rsidRPr="00DE5B06">
              <w:rPr>
                <w:rFonts w:ascii="Gill Sans MT" w:hAnsi="Gill Sans MT"/>
                <w:color w:val="FFFFFF" w:themeColor="background1"/>
              </w:rPr>
              <w:t>Department of State Growth</w:t>
            </w:r>
          </w:p>
          <w:p w14:paraId="7FE31F39" w14:textId="12DD3316" w:rsidR="00FF4965" w:rsidRPr="00FF4965" w:rsidRDefault="007B0AE3" w:rsidP="007B0AE3">
            <w:pPr>
              <w:pStyle w:val="BackPage"/>
              <w:cnfStyle w:val="100000000000" w:firstRow="1" w:lastRow="0" w:firstColumn="0" w:lastColumn="0" w:oddVBand="0" w:evenVBand="0" w:oddHBand="0" w:evenHBand="0" w:firstRowFirstColumn="0" w:firstRowLastColumn="0" w:lastRowFirstColumn="0" w:lastRowLastColumn="0"/>
              <w:rPr>
                <w:rFonts w:ascii="Gill Sans MT" w:hAnsi="Gill Sans MT"/>
                <w:b w:val="0"/>
                <w:color w:val="FFFFFF" w:themeColor="background1"/>
              </w:rPr>
            </w:pPr>
            <w:r>
              <w:rPr>
                <w:rFonts w:ascii="Gill Sans MT" w:hAnsi="Gill Sans MT"/>
                <w:b w:val="0"/>
                <w:color w:val="FFFFFF" w:themeColor="background1"/>
              </w:rPr>
              <w:t>GPO Box 536</w:t>
            </w:r>
            <w:r w:rsidR="00FF4965" w:rsidRPr="00FF4965">
              <w:rPr>
                <w:rFonts w:ascii="Gill Sans MT" w:hAnsi="Gill Sans MT"/>
                <w:b w:val="0"/>
                <w:color w:val="FFFFFF" w:themeColor="background1"/>
              </w:rPr>
              <w:br/>
            </w:r>
            <w:r>
              <w:rPr>
                <w:rFonts w:ascii="Gill Sans MT" w:hAnsi="Gill Sans MT"/>
                <w:b w:val="0"/>
                <w:color w:val="FFFFFF" w:themeColor="background1"/>
              </w:rPr>
              <w:t xml:space="preserve">HOBART </w:t>
            </w:r>
            <w:r w:rsidR="00FF4965" w:rsidRPr="00FF4965">
              <w:rPr>
                <w:rFonts w:ascii="Gill Sans MT" w:hAnsi="Gill Sans MT"/>
                <w:b w:val="0"/>
                <w:color w:val="FFFFFF" w:themeColor="background1"/>
              </w:rPr>
              <w:t xml:space="preserve"> TAS 7001 Australia</w:t>
            </w:r>
          </w:p>
        </w:tc>
      </w:tr>
      <w:tr w:rsidR="00FF4965" w14:paraId="4F63FFF8" w14:textId="77777777" w:rsidTr="00FF4965">
        <w:tc>
          <w:tcPr>
            <w:cnfStyle w:val="001000000000" w:firstRow="0" w:lastRow="0" w:firstColumn="1" w:lastColumn="0" w:oddVBand="0" w:evenVBand="0" w:oddHBand="0" w:evenHBand="0" w:firstRowFirstColumn="0" w:firstRowLastColumn="0" w:lastRowFirstColumn="0" w:lastRowLastColumn="0"/>
            <w:tcW w:w="2835" w:type="dxa"/>
            <w:vMerge/>
          </w:tcPr>
          <w:p w14:paraId="5EDD1C8F" w14:textId="77777777" w:rsidR="00FF4965" w:rsidRDefault="00FF4965" w:rsidP="00FF4965"/>
        </w:tc>
        <w:tc>
          <w:tcPr>
            <w:tcW w:w="879" w:type="dxa"/>
          </w:tcPr>
          <w:p w14:paraId="639D88B1" w14:textId="77777777" w:rsidR="00FF4965" w:rsidRPr="00FF4965" w:rsidRDefault="00FF4965" w:rsidP="00FF4965">
            <w:pPr>
              <w:spacing w:before="120"/>
              <w:cnfStyle w:val="000000000000" w:firstRow="0" w:lastRow="0" w:firstColumn="0" w:lastColumn="0" w:oddVBand="0" w:evenVBand="0" w:oddHBand="0" w:evenHBand="0" w:firstRowFirstColumn="0" w:firstRowLastColumn="0" w:lastRowFirstColumn="0" w:lastRowLastColumn="0"/>
              <w:rPr>
                <w:color w:val="FFFFFF" w:themeColor="background1"/>
              </w:rPr>
            </w:pPr>
            <w:r w:rsidRPr="00FF4965">
              <w:rPr>
                <w:color w:val="FFFFFF" w:themeColor="background1"/>
              </w:rPr>
              <w:t>Phone:</w:t>
            </w:r>
          </w:p>
        </w:tc>
        <w:tc>
          <w:tcPr>
            <w:tcW w:w="5500" w:type="dxa"/>
          </w:tcPr>
          <w:p w14:paraId="2D91D9F9" w14:textId="75522274" w:rsidR="00FF4965" w:rsidRPr="00FF4965" w:rsidRDefault="0078273B" w:rsidP="00FF4965">
            <w:pPr>
              <w:spacing w:before="120"/>
              <w:cnfStyle w:val="000000000000" w:firstRow="0" w:lastRow="0" w:firstColumn="0" w:lastColumn="0" w:oddVBand="0" w:evenVBand="0" w:oddHBand="0" w:evenHBand="0" w:firstRowFirstColumn="0" w:firstRowLastColumn="0" w:lastRowFirstColumn="0" w:lastRowLastColumn="0"/>
              <w:rPr>
                <w:color w:val="FFFFFF" w:themeColor="background1"/>
              </w:rPr>
            </w:pPr>
            <w:r w:rsidRPr="0078273B">
              <w:rPr>
                <w:color w:val="FFFFFF" w:themeColor="background1"/>
              </w:rPr>
              <w:t>1800 030 688</w:t>
            </w:r>
          </w:p>
        </w:tc>
      </w:tr>
      <w:tr w:rsidR="0078273B" w14:paraId="17D6E212" w14:textId="77777777" w:rsidTr="00FF4965">
        <w:tc>
          <w:tcPr>
            <w:cnfStyle w:val="001000000000" w:firstRow="0" w:lastRow="0" w:firstColumn="1" w:lastColumn="0" w:oddVBand="0" w:evenVBand="0" w:oddHBand="0" w:evenHBand="0" w:firstRowFirstColumn="0" w:firstRowLastColumn="0" w:lastRowFirstColumn="0" w:lastRowLastColumn="0"/>
            <w:tcW w:w="2835" w:type="dxa"/>
            <w:vMerge/>
          </w:tcPr>
          <w:p w14:paraId="4A5FB71E" w14:textId="77777777" w:rsidR="0078273B" w:rsidRDefault="0078273B" w:rsidP="00FF4965"/>
        </w:tc>
        <w:tc>
          <w:tcPr>
            <w:tcW w:w="879" w:type="dxa"/>
          </w:tcPr>
          <w:p w14:paraId="5500D490" w14:textId="71A307EC" w:rsidR="0078273B" w:rsidRPr="00FF4965" w:rsidRDefault="0078273B" w:rsidP="00FF4965">
            <w:pPr>
              <w:spacing w:before="120"/>
              <w:cnfStyle w:val="000000000000" w:firstRow="0" w:lastRow="0" w:firstColumn="0" w:lastColumn="0" w:oddVBand="0" w:evenVBand="0" w:oddHBand="0" w:evenHBand="0" w:firstRowFirstColumn="0" w:firstRowLastColumn="0" w:lastRowFirstColumn="0" w:lastRowLastColumn="0"/>
              <w:rPr>
                <w:color w:val="FFFFFF" w:themeColor="background1"/>
              </w:rPr>
            </w:pPr>
            <w:r w:rsidRPr="00FF4965">
              <w:rPr>
                <w:color w:val="FFFFFF" w:themeColor="background1"/>
              </w:rPr>
              <w:t>Email:</w:t>
            </w:r>
          </w:p>
        </w:tc>
        <w:tc>
          <w:tcPr>
            <w:tcW w:w="5500" w:type="dxa"/>
          </w:tcPr>
          <w:p w14:paraId="1BE769E9" w14:textId="7BED31B7" w:rsidR="0078273B" w:rsidRPr="00FF4965" w:rsidRDefault="00EA20A1" w:rsidP="0078273B">
            <w:pPr>
              <w:spacing w:before="120"/>
              <w:cnfStyle w:val="000000000000" w:firstRow="0" w:lastRow="0" w:firstColumn="0" w:lastColumn="0" w:oddVBand="0" w:evenVBand="0" w:oddHBand="0" w:evenHBand="0" w:firstRowFirstColumn="0" w:firstRowLastColumn="0" w:lastRowFirstColumn="0" w:lastRowLastColumn="0"/>
              <w:rPr>
                <w:color w:val="FFFFFF" w:themeColor="background1"/>
              </w:rPr>
            </w:pPr>
            <w:r w:rsidRPr="00EA20A1">
              <w:rPr>
                <w:color w:val="FFFFFF" w:themeColor="background1"/>
              </w:rPr>
              <w:t>esireview</w:t>
            </w:r>
            <w:r w:rsidR="0078273B" w:rsidRPr="0078273B">
              <w:rPr>
                <w:color w:val="FFFFFF" w:themeColor="background1"/>
              </w:rPr>
              <w:t>@stategrowth.tas.gov.au</w:t>
            </w:r>
          </w:p>
        </w:tc>
      </w:tr>
      <w:tr w:rsidR="0078273B" w14:paraId="0C068768" w14:textId="77777777" w:rsidTr="00FF4965">
        <w:tc>
          <w:tcPr>
            <w:cnfStyle w:val="001000000000" w:firstRow="0" w:lastRow="0" w:firstColumn="1" w:lastColumn="0" w:oddVBand="0" w:evenVBand="0" w:oddHBand="0" w:evenHBand="0" w:firstRowFirstColumn="0" w:firstRowLastColumn="0" w:lastRowFirstColumn="0" w:lastRowLastColumn="0"/>
            <w:tcW w:w="2835" w:type="dxa"/>
            <w:vMerge/>
          </w:tcPr>
          <w:p w14:paraId="29AB7886" w14:textId="77777777" w:rsidR="0078273B" w:rsidRDefault="0078273B" w:rsidP="00FF4965"/>
        </w:tc>
        <w:tc>
          <w:tcPr>
            <w:tcW w:w="879" w:type="dxa"/>
          </w:tcPr>
          <w:p w14:paraId="323B780F" w14:textId="4AA877EE" w:rsidR="0078273B" w:rsidRPr="00FF4965" w:rsidRDefault="0078273B" w:rsidP="00FF4965">
            <w:pPr>
              <w:spacing w:before="120"/>
              <w:cnfStyle w:val="000000000000" w:firstRow="0" w:lastRow="0" w:firstColumn="0" w:lastColumn="0" w:oddVBand="0" w:evenVBand="0" w:oddHBand="0" w:evenHBand="0" w:firstRowFirstColumn="0" w:firstRowLastColumn="0" w:lastRowFirstColumn="0" w:lastRowLastColumn="0"/>
              <w:rPr>
                <w:color w:val="FFFFFF" w:themeColor="background1"/>
              </w:rPr>
            </w:pPr>
            <w:r w:rsidRPr="00FF4965">
              <w:rPr>
                <w:color w:val="FFFFFF" w:themeColor="background1"/>
              </w:rPr>
              <w:t>Web:</w:t>
            </w:r>
          </w:p>
        </w:tc>
        <w:tc>
          <w:tcPr>
            <w:tcW w:w="5500" w:type="dxa"/>
          </w:tcPr>
          <w:p w14:paraId="2E79A6F3" w14:textId="79002128" w:rsidR="0078273B" w:rsidRPr="00FF4965" w:rsidRDefault="0078273B" w:rsidP="00FF4965">
            <w:pPr>
              <w:spacing w:before="120"/>
              <w:cnfStyle w:val="000000000000" w:firstRow="0" w:lastRow="0" w:firstColumn="0" w:lastColumn="0" w:oddVBand="0" w:evenVBand="0" w:oddHBand="0" w:evenHBand="0" w:firstRowFirstColumn="0" w:firstRowLastColumn="0" w:lastRowFirstColumn="0" w:lastRowLastColumn="0"/>
              <w:rPr>
                <w:color w:val="FFFFFF" w:themeColor="background1"/>
              </w:rPr>
            </w:pPr>
            <w:r w:rsidRPr="00FF4965">
              <w:rPr>
                <w:color w:val="FFFFFF" w:themeColor="background1"/>
              </w:rPr>
              <w:t>www.</w:t>
            </w:r>
            <w:r>
              <w:rPr>
                <w:color w:val="FFFFFF" w:themeColor="background1"/>
              </w:rPr>
              <w:t>stategrowth</w:t>
            </w:r>
            <w:r w:rsidRPr="00FF4965">
              <w:rPr>
                <w:color w:val="FFFFFF" w:themeColor="background1"/>
              </w:rPr>
              <w:t>.tas.gov.au</w:t>
            </w:r>
          </w:p>
        </w:tc>
      </w:tr>
      <w:tr w:rsidR="0078273B" w14:paraId="05691D2B" w14:textId="77777777" w:rsidTr="00FF4965">
        <w:tc>
          <w:tcPr>
            <w:cnfStyle w:val="001000000000" w:firstRow="0" w:lastRow="0" w:firstColumn="1" w:lastColumn="0" w:oddVBand="0" w:evenVBand="0" w:oddHBand="0" w:evenHBand="0" w:firstRowFirstColumn="0" w:firstRowLastColumn="0" w:lastRowFirstColumn="0" w:lastRowLastColumn="0"/>
            <w:tcW w:w="2835" w:type="dxa"/>
            <w:vMerge/>
          </w:tcPr>
          <w:p w14:paraId="71854D10" w14:textId="77777777" w:rsidR="0078273B" w:rsidRDefault="0078273B" w:rsidP="00FF4965"/>
        </w:tc>
        <w:tc>
          <w:tcPr>
            <w:tcW w:w="879" w:type="dxa"/>
          </w:tcPr>
          <w:p w14:paraId="21EA4611" w14:textId="19FD4B31" w:rsidR="0078273B" w:rsidRPr="00FF4965" w:rsidRDefault="0078273B" w:rsidP="00FF4965">
            <w:pPr>
              <w:spacing w:before="120"/>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5500" w:type="dxa"/>
          </w:tcPr>
          <w:p w14:paraId="338EB957" w14:textId="37BAF2B1" w:rsidR="0078273B" w:rsidRPr="00FF4965" w:rsidRDefault="0078273B" w:rsidP="007B0AE3">
            <w:pPr>
              <w:spacing w:before="120"/>
              <w:cnfStyle w:val="000000000000" w:firstRow="0" w:lastRow="0" w:firstColumn="0" w:lastColumn="0" w:oddVBand="0" w:evenVBand="0" w:oddHBand="0" w:evenHBand="0" w:firstRowFirstColumn="0" w:firstRowLastColumn="0" w:lastRowFirstColumn="0" w:lastRowLastColumn="0"/>
              <w:rPr>
                <w:color w:val="FFFFFF" w:themeColor="background1"/>
              </w:rPr>
            </w:pPr>
          </w:p>
        </w:tc>
      </w:tr>
    </w:tbl>
    <w:p w14:paraId="0517C877" w14:textId="77777777" w:rsidR="00FF4965" w:rsidRDefault="00FF4965" w:rsidP="00214773">
      <w:pPr>
        <w:tabs>
          <w:tab w:val="left" w:pos="8436"/>
        </w:tabs>
        <w:jc w:val="left"/>
      </w:pPr>
    </w:p>
    <w:p w14:paraId="3A85A541" w14:textId="77777777" w:rsidR="00FF4965" w:rsidRPr="00E10BBE" w:rsidRDefault="00FF4965" w:rsidP="00214773">
      <w:pPr>
        <w:tabs>
          <w:tab w:val="left" w:pos="8436"/>
        </w:tabs>
        <w:jc w:val="left"/>
      </w:pPr>
    </w:p>
    <w:sectPr w:rsidR="00FF4965" w:rsidRPr="00E10BBE" w:rsidSect="00FF4965">
      <w:footerReference w:type="first" r:id="rId12"/>
      <w:pgSz w:w="11904" w:h="16834" w:code="9"/>
      <w:pgMar w:top="1702" w:right="705" w:bottom="851" w:left="993" w:header="454" w:footer="851" w:gutter="0"/>
      <w:cols w:space="708"/>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88CE3E" w14:textId="77777777" w:rsidR="00095B0B" w:rsidRDefault="00095B0B">
      <w:pPr>
        <w:spacing w:line="240" w:lineRule="auto"/>
      </w:pPr>
      <w:r>
        <w:separator/>
      </w:r>
    </w:p>
  </w:endnote>
  <w:endnote w:type="continuationSeparator" w:id="0">
    <w:p w14:paraId="4CD580C7" w14:textId="77777777" w:rsidR="00095B0B" w:rsidRDefault="00095B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Lucida Grande">
    <w:altName w:val="Courier New"/>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BBDCF" w14:textId="67C62BC4" w:rsidR="00F971B2" w:rsidRPr="009D156B" w:rsidRDefault="00F971B2" w:rsidP="00EA00A8">
    <w:pPr>
      <w:pStyle w:val="Footer"/>
      <w:tabs>
        <w:tab w:val="clear" w:pos="4320"/>
        <w:tab w:val="clear" w:pos="8640"/>
        <w:tab w:val="right" w:pos="9356"/>
      </w:tabs>
      <w:ind w:left="-284"/>
      <w:jc w:val="right"/>
      <w:rPr>
        <w:color w:val="879637"/>
        <w:sz w:val="14"/>
      </w:rPr>
    </w:pPr>
    <w:r w:rsidRPr="00E54BA6">
      <w:tab/>
    </w:r>
    <w:r w:rsidR="009506B2" w:rsidRPr="00FE610B">
      <w:rPr>
        <w:sz w:val="20"/>
      </w:rPr>
      <w:fldChar w:fldCharType="begin"/>
    </w:r>
    <w:r w:rsidRPr="00FE610B">
      <w:rPr>
        <w:sz w:val="20"/>
      </w:rPr>
      <w:instrText xml:space="preserve"> PAGE   \* MERGEFORMAT </w:instrText>
    </w:r>
    <w:r w:rsidR="009506B2" w:rsidRPr="00FE610B">
      <w:rPr>
        <w:sz w:val="20"/>
      </w:rPr>
      <w:fldChar w:fldCharType="separate"/>
    </w:r>
    <w:r w:rsidR="00D65DB4">
      <w:rPr>
        <w:noProof/>
        <w:sz w:val="20"/>
      </w:rPr>
      <w:t>5</w:t>
    </w:r>
    <w:r w:rsidR="009506B2" w:rsidRPr="00FE610B">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4844424"/>
      <w:docPartObj>
        <w:docPartGallery w:val="Page Numbers (Bottom of Page)"/>
        <w:docPartUnique/>
      </w:docPartObj>
    </w:sdtPr>
    <w:sdtEndPr>
      <w:rPr>
        <w:noProof/>
        <w:sz w:val="20"/>
      </w:rPr>
    </w:sdtEndPr>
    <w:sdtContent>
      <w:p w14:paraId="0E41E31B" w14:textId="77777777" w:rsidR="009565CF" w:rsidRPr="00FE610B" w:rsidRDefault="009565CF" w:rsidP="00FE610B">
        <w:pPr>
          <w:pStyle w:val="Footer"/>
          <w:jc w:val="right"/>
          <w:rPr>
            <w:sz w:val="20"/>
          </w:rPr>
        </w:pPr>
        <w:r w:rsidRPr="00FE610B">
          <w:rPr>
            <w:sz w:val="20"/>
          </w:rPr>
          <w:fldChar w:fldCharType="begin"/>
        </w:r>
        <w:r w:rsidRPr="00FE610B">
          <w:rPr>
            <w:sz w:val="20"/>
          </w:rPr>
          <w:instrText xml:space="preserve"> PAGE   \* MERGEFORMAT </w:instrText>
        </w:r>
        <w:r w:rsidRPr="00FE610B">
          <w:rPr>
            <w:sz w:val="20"/>
          </w:rPr>
          <w:fldChar w:fldCharType="separate"/>
        </w:r>
        <w:r w:rsidR="00D65DB4">
          <w:rPr>
            <w:noProof/>
            <w:sz w:val="20"/>
          </w:rPr>
          <w:t>1</w:t>
        </w:r>
        <w:r w:rsidRPr="00FE610B">
          <w:rPr>
            <w:noProof/>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7DD9B" w14:textId="5A722291" w:rsidR="00797FE0" w:rsidRPr="00FE610B" w:rsidRDefault="00797FE0" w:rsidP="00FE610B">
    <w:pPr>
      <w:pStyle w:val="Footer"/>
      <w:jc w:val="righ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31EC9C" w14:textId="77777777" w:rsidR="00095B0B" w:rsidRDefault="00095B0B">
      <w:pPr>
        <w:spacing w:line="240" w:lineRule="auto"/>
      </w:pPr>
      <w:r>
        <w:separator/>
      </w:r>
    </w:p>
  </w:footnote>
  <w:footnote w:type="continuationSeparator" w:id="0">
    <w:p w14:paraId="6A3A4972" w14:textId="77777777" w:rsidR="00095B0B" w:rsidRDefault="00095B0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60CE7"/>
    <w:multiLevelType w:val="hybridMultilevel"/>
    <w:tmpl w:val="9086FB84"/>
    <w:lvl w:ilvl="0" w:tplc="AF5E380A">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C140CE3"/>
    <w:multiLevelType w:val="hybridMultilevel"/>
    <w:tmpl w:val="2B9E97D6"/>
    <w:lvl w:ilvl="0" w:tplc="22CA1F9C">
      <w:start w:val="1"/>
      <w:numFmt w:val="bullet"/>
      <w:pStyle w:val="bullets"/>
      <w:lvlText w:val=""/>
      <w:lvlJc w:val="left"/>
      <w:pPr>
        <w:ind w:left="36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b/>
        <w:position w:val="0"/>
        <w:sz w:val="24"/>
      </w:rPr>
    </w:lvl>
    <w:lvl w:ilvl="1">
      <w:start w:val="1"/>
      <w:numFmt w:val="decimal"/>
      <w:lvlText w:val="%1.%2"/>
      <w:lvlJc w:val="left"/>
      <w:pPr>
        <w:tabs>
          <w:tab w:val="num" w:pos="720"/>
        </w:tabs>
        <w:ind w:left="720" w:hanging="720"/>
      </w:pPr>
      <w:rPr>
        <w:rFonts w:ascii="Arial" w:hAnsi="Arial"/>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CE274CA"/>
    <w:multiLevelType w:val="hybridMultilevel"/>
    <w:tmpl w:val="698CA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4076D7"/>
    <w:multiLevelType w:val="multilevel"/>
    <w:tmpl w:val="9A948C84"/>
    <w:lvl w:ilvl="0">
      <w:start w:val="1"/>
      <w:numFmt w:val="decimal"/>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F126475"/>
    <w:multiLevelType w:val="hybridMultilevel"/>
    <w:tmpl w:val="CF6E31C6"/>
    <w:lvl w:ilvl="0" w:tplc="C1C63CFA">
      <w:start w:val="1"/>
      <w:numFmt w:val="decimal"/>
      <w:pStyle w:val="TreasuryNoBullets"/>
      <w:lvlText w:val="%1."/>
      <w:lvlJc w:val="left"/>
      <w:pPr>
        <w:ind w:left="720" w:hanging="360"/>
      </w:pPr>
      <w:rPr>
        <w:rFonts w:ascii="Arial" w:hAnsi="Arial" w:hint="default"/>
        <w:b/>
        <w:i w:val="0"/>
        <w:color w:val="auto"/>
        <w:position w:val="0"/>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41771"/>
    <w:multiLevelType w:val="multilevel"/>
    <w:tmpl w:val="0409001D"/>
    <w:styleLink w:val="StyleOutlinenumbered12ptBoldLeft127cmHanging063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Arial" w:hAnsi="Arial"/>
        <w:bCs/>
        <w:color w:val="242424"/>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7CB7C2A"/>
    <w:multiLevelType w:val="hybridMultilevel"/>
    <w:tmpl w:val="5128B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b/>
        <w:sz w:val="20"/>
      </w:rPr>
    </w:lvl>
    <w:lvl w:ilvl="1">
      <w:start w:val="1"/>
      <w:numFmt w:val="decimal"/>
      <w:lvlText w:val="%1.%2"/>
      <w:lvlJc w:val="left"/>
      <w:pPr>
        <w:tabs>
          <w:tab w:val="num" w:pos="720"/>
        </w:tabs>
        <w:ind w:left="720" w:hanging="720"/>
      </w:pPr>
      <w:rPr>
        <w:rFonts w:ascii="Arial" w:hAnsi="Arial"/>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C5526B7"/>
    <w:multiLevelType w:val="hybridMultilevel"/>
    <w:tmpl w:val="D72086D8"/>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FAE1FAA"/>
    <w:multiLevelType w:val="hybridMultilevel"/>
    <w:tmpl w:val="0E34516C"/>
    <w:lvl w:ilvl="0" w:tplc="0AB4045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hint="default"/>
        <w:b w:val="0"/>
        <w:i w:val="0"/>
        <w:color w:val="242424"/>
        <w:sz w:val="24"/>
      </w:rPr>
    </w:lvl>
    <w:lvl w:ilvl="1">
      <w:start w:val="1"/>
      <w:numFmt w:val="decimal"/>
      <w:lvlText w:val="%1.%2."/>
      <w:lvlJc w:val="left"/>
      <w:pPr>
        <w:tabs>
          <w:tab w:val="num" w:pos="454"/>
        </w:tabs>
        <w:ind w:left="454" w:firstLine="0"/>
      </w:pPr>
      <w:rPr>
        <w:rFonts w:ascii="Arial" w:hAnsi="Arial" w:hint="default"/>
        <w:b w:val="0"/>
        <w:i w:val="0"/>
        <w:color w:val="1D1D1D"/>
        <w:sz w:val="22"/>
      </w:rPr>
    </w:lvl>
    <w:lvl w:ilvl="2">
      <w:start w:val="1"/>
      <w:numFmt w:val="decimal"/>
      <w:lvlText w:val="%1.%3.%2"/>
      <w:lvlJc w:val="left"/>
      <w:pPr>
        <w:tabs>
          <w:tab w:val="num" w:pos="624"/>
        </w:tabs>
        <w:ind w:left="680" w:hanging="226"/>
      </w:pPr>
      <w:rPr>
        <w:rFonts w:ascii="Arial" w:hAnsi="Arial" w:hint="default"/>
        <w:b w:val="0"/>
        <w:i w:val="0"/>
        <w:color w:val="202020"/>
        <w:sz w:val="21"/>
      </w:rPr>
    </w:lvl>
    <w:lvl w:ilvl="3">
      <w:start w:val="1"/>
      <w:numFmt w:val="decimal"/>
      <w:lvlText w:val="%1.%2.%3.%4."/>
      <w:lvlJc w:val="left"/>
      <w:pPr>
        <w:tabs>
          <w:tab w:val="num" w:pos="1021"/>
        </w:tabs>
        <w:ind w:left="454" w:firstLine="0"/>
      </w:pPr>
      <w:rPr>
        <w:rFonts w:hint="default"/>
      </w:rPr>
    </w:lvl>
    <w:lvl w:ilvl="4">
      <w:start w:val="1"/>
      <w:numFmt w:val="decimal"/>
      <w:lvlText w:val="%1.%2.%3.%4.%5."/>
      <w:lvlJc w:val="left"/>
      <w:pPr>
        <w:tabs>
          <w:tab w:val="num" w:pos="2160"/>
        </w:tabs>
        <w:ind w:left="1871" w:hanging="791"/>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12" w15:restartNumberingAfterBreak="0">
    <w:nsid w:val="2318098C"/>
    <w:multiLevelType w:val="multilevel"/>
    <w:tmpl w:val="B60ED998"/>
    <w:styleLink w:val="TreasuryBullets2"/>
    <w:lvl w:ilvl="0">
      <w:start w:val="1"/>
      <w:numFmt w:val="decimal"/>
      <w:suff w:val="space"/>
      <w:lvlText w:val="%1)"/>
      <w:lvlJc w:val="left"/>
      <w:pPr>
        <w:ind w:left="0" w:firstLine="360"/>
      </w:pPr>
      <w:rPr>
        <w:rFonts w:hint="default"/>
      </w:rPr>
    </w:lvl>
    <w:lvl w:ilvl="1">
      <w:start w:val="1"/>
      <w:numFmt w:val="lowerLetter"/>
      <w:suff w:val="space"/>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hint="default"/>
        <w:b/>
        <w:caps/>
        <w:sz w:val="20"/>
      </w:rPr>
    </w:lvl>
    <w:lvl w:ilvl="1">
      <w:start w:val="1"/>
      <w:numFmt w:val="decimal"/>
      <w:lvlRestart w:val="0"/>
      <w:lvlText w:val="%2.%1"/>
      <w:lvlJc w:val="left"/>
      <w:pPr>
        <w:tabs>
          <w:tab w:val="num" w:pos="1304"/>
        </w:tabs>
        <w:ind w:left="1134" w:hanging="283"/>
      </w:pPr>
      <w:rPr>
        <w:rFonts w:ascii="Arial" w:hAnsi="Arial" w:hint="default"/>
        <w:caps w:val="0"/>
        <w:sz w:val="20"/>
      </w:rPr>
    </w:lvl>
    <w:lvl w:ilvl="2">
      <w:start w:val="1"/>
      <w:numFmt w:val="decimal"/>
      <w:lvlText w:val="%3.1.1"/>
      <w:lvlJc w:val="left"/>
      <w:pPr>
        <w:tabs>
          <w:tab w:val="num" w:pos="1134"/>
        </w:tabs>
        <w:ind w:left="1134" w:hanging="283"/>
      </w:pPr>
      <w:rPr>
        <w:rFonts w:ascii="Arial" w:hAnsi="Arial" w:hint="default"/>
        <w:sz w:val="20"/>
      </w:rPr>
    </w:lvl>
    <w:lvl w:ilvl="3">
      <w:start w:val="1"/>
      <w:numFmt w:val="decimal"/>
      <w:lvlText w:val="(%4)"/>
      <w:lvlJc w:val="left"/>
      <w:pPr>
        <w:tabs>
          <w:tab w:val="num" w:pos="1134"/>
        </w:tabs>
        <w:ind w:left="1134" w:hanging="283"/>
      </w:pPr>
      <w:rPr>
        <w:rFonts w:hint="default"/>
      </w:rPr>
    </w:lvl>
    <w:lvl w:ilvl="4">
      <w:start w:val="1"/>
      <w:numFmt w:val="lowerLetter"/>
      <w:lvlText w:val="(%5)"/>
      <w:lvlJc w:val="left"/>
      <w:pPr>
        <w:tabs>
          <w:tab w:val="num" w:pos="1134"/>
        </w:tabs>
        <w:ind w:left="1134" w:hanging="283"/>
      </w:pPr>
      <w:rPr>
        <w:rFonts w:hint="default"/>
      </w:rPr>
    </w:lvl>
    <w:lvl w:ilvl="5">
      <w:start w:val="1"/>
      <w:numFmt w:val="lowerRoman"/>
      <w:lvlText w:val="(%6)"/>
      <w:lvlJc w:val="left"/>
      <w:pPr>
        <w:tabs>
          <w:tab w:val="num" w:pos="1134"/>
        </w:tabs>
        <w:ind w:left="1134" w:hanging="283"/>
      </w:pPr>
      <w:rPr>
        <w:rFonts w:hint="default"/>
      </w:rPr>
    </w:lvl>
    <w:lvl w:ilvl="6">
      <w:start w:val="1"/>
      <w:numFmt w:val="decimal"/>
      <w:lvlText w:val="%7."/>
      <w:lvlJc w:val="left"/>
      <w:pPr>
        <w:tabs>
          <w:tab w:val="num" w:pos="1134"/>
        </w:tabs>
        <w:ind w:left="1134" w:hanging="283"/>
      </w:pPr>
      <w:rPr>
        <w:rFonts w:hint="default"/>
      </w:rPr>
    </w:lvl>
    <w:lvl w:ilvl="7">
      <w:start w:val="1"/>
      <w:numFmt w:val="lowerLetter"/>
      <w:lvlText w:val="%8."/>
      <w:lvlJc w:val="left"/>
      <w:pPr>
        <w:tabs>
          <w:tab w:val="num" w:pos="1134"/>
        </w:tabs>
        <w:ind w:left="1134" w:hanging="283"/>
      </w:pPr>
      <w:rPr>
        <w:rFonts w:hint="default"/>
      </w:rPr>
    </w:lvl>
    <w:lvl w:ilvl="8">
      <w:start w:val="1"/>
      <w:numFmt w:val="lowerRoman"/>
      <w:lvlText w:val="%9."/>
      <w:lvlJc w:val="left"/>
      <w:pPr>
        <w:tabs>
          <w:tab w:val="num" w:pos="1134"/>
        </w:tabs>
        <w:ind w:left="1134" w:hanging="283"/>
      </w:pPr>
      <w:rPr>
        <w:rFonts w:hint="default"/>
      </w:rPr>
    </w:lvl>
  </w:abstractNum>
  <w:abstractNum w:abstractNumId="14" w15:restartNumberingAfterBreak="0">
    <w:nsid w:val="2BA6416E"/>
    <w:multiLevelType w:val="multilevel"/>
    <w:tmpl w:val="3000BE20"/>
    <w:lvl w:ilvl="0">
      <w:start w:val="1"/>
      <w:numFmt w:val="decimal"/>
      <w:lvlText w:val="%1."/>
      <w:lvlJc w:val="left"/>
      <w:pPr>
        <w:tabs>
          <w:tab w:val="num" w:pos="284"/>
        </w:tabs>
        <w:ind w:left="851" w:firstLine="0"/>
      </w:pPr>
      <w:rPr>
        <w:rFonts w:ascii="Arial" w:hAnsi="Arial"/>
        <w:b/>
        <w:bCs/>
        <w:color w:val="242424"/>
      </w:rPr>
    </w:lvl>
    <w:lvl w:ilvl="1">
      <w:start w:val="1"/>
      <w:numFmt w:val="decimal"/>
      <w:lvlText w:val="(%2)"/>
      <w:lvlJc w:val="left"/>
      <w:pPr>
        <w:tabs>
          <w:tab w:val="num" w:pos="1418"/>
        </w:tabs>
        <w:ind w:left="851" w:firstLine="0"/>
      </w:pPr>
      <w:rPr>
        <w:rFonts w:hint="default"/>
      </w:rPr>
    </w:lvl>
    <w:lvl w:ilvl="2">
      <w:start w:val="1"/>
      <w:numFmt w:val="lowerLetter"/>
      <w:lvlText w:val="(%3)"/>
      <w:lvlJc w:val="left"/>
      <w:pPr>
        <w:tabs>
          <w:tab w:val="num" w:pos="2835"/>
        </w:tabs>
        <w:ind w:left="1985" w:firstLine="0"/>
      </w:pPr>
      <w:rPr>
        <w:rFonts w:hint="default"/>
      </w:rPr>
    </w:lvl>
    <w:lvl w:ilvl="3">
      <w:start w:val="1"/>
      <w:numFmt w:val="lowerLetter"/>
      <w:lvlText w:val="(%4)"/>
      <w:lvlJc w:val="left"/>
      <w:pPr>
        <w:ind w:left="1208" w:hanging="357"/>
      </w:pPr>
      <w:rPr>
        <w:rFonts w:hint="default"/>
      </w:rPr>
    </w:lvl>
    <w:lvl w:ilvl="4">
      <w:start w:val="1"/>
      <w:numFmt w:val="lowerLetter"/>
      <w:lvlText w:val="(%5)"/>
      <w:lvlJc w:val="left"/>
      <w:pPr>
        <w:ind w:left="1208" w:hanging="357"/>
      </w:pPr>
      <w:rPr>
        <w:rFonts w:hint="default"/>
      </w:rPr>
    </w:lvl>
    <w:lvl w:ilvl="5">
      <w:start w:val="1"/>
      <w:numFmt w:val="lowerRoman"/>
      <w:lvlText w:val="(%6)"/>
      <w:lvlJc w:val="left"/>
      <w:pPr>
        <w:ind w:left="1208" w:hanging="357"/>
      </w:pPr>
      <w:rPr>
        <w:rFonts w:hint="default"/>
      </w:rPr>
    </w:lvl>
    <w:lvl w:ilvl="6">
      <w:start w:val="1"/>
      <w:numFmt w:val="decimal"/>
      <w:lvlText w:val="%7."/>
      <w:lvlJc w:val="left"/>
      <w:pPr>
        <w:ind w:left="1208" w:hanging="357"/>
      </w:pPr>
      <w:rPr>
        <w:rFonts w:hint="default"/>
      </w:rPr>
    </w:lvl>
    <w:lvl w:ilvl="7">
      <w:start w:val="1"/>
      <w:numFmt w:val="lowerLetter"/>
      <w:lvlText w:val="%8."/>
      <w:lvlJc w:val="left"/>
      <w:pPr>
        <w:ind w:left="1208" w:hanging="357"/>
      </w:pPr>
      <w:rPr>
        <w:rFonts w:hint="default"/>
      </w:rPr>
    </w:lvl>
    <w:lvl w:ilvl="8">
      <w:start w:val="1"/>
      <w:numFmt w:val="lowerRoman"/>
      <w:lvlText w:val="%9."/>
      <w:lvlJc w:val="left"/>
      <w:pPr>
        <w:ind w:left="1208" w:hanging="357"/>
      </w:pPr>
      <w:rPr>
        <w:rFonts w:hint="default"/>
      </w:rPr>
    </w:lvl>
  </w:abstractNum>
  <w:abstractNum w:abstractNumId="15" w15:restartNumberingAfterBreak="0">
    <w:nsid w:val="30847603"/>
    <w:multiLevelType w:val="hybridMultilevel"/>
    <w:tmpl w:val="54666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EC1C0A"/>
    <w:multiLevelType w:val="multilevel"/>
    <w:tmpl w:val="3000BE20"/>
    <w:lvl w:ilvl="0">
      <w:start w:val="1"/>
      <w:numFmt w:val="decimal"/>
      <w:lvlText w:val="%1."/>
      <w:lvlJc w:val="left"/>
      <w:pPr>
        <w:tabs>
          <w:tab w:val="num" w:pos="284"/>
        </w:tabs>
        <w:ind w:left="851" w:firstLine="0"/>
      </w:pPr>
      <w:rPr>
        <w:rFonts w:ascii="Arial" w:hAnsi="Arial"/>
        <w:b/>
        <w:bCs/>
        <w:color w:val="242424"/>
      </w:rPr>
    </w:lvl>
    <w:lvl w:ilvl="1">
      <w:start w:val="1"/>
      <w:numFmt w:val="decimal"/>
      <w:lvlText w:val="(%2)"/>
      <w:lvlJc w:val="left"/>
      <w:pPr>
        <w:tabs>
          <w:tab w:val="num" w:pos="1418"/>
        </w:tabs>
        <w:ind w:left="851" w:firstLine="0"/>
      </w:pPr>
      <w:rPr>
        <w:rFonts w:hint="default"/>
      </w:rPr>
    </w:lvl>
    <w:lvl w:ilvl="2">
      <w:start w:val="1"/>
      <w:numFmt w:val="lowerLetter"/>
      <w:lvlText w:val="(%3)"/>
      <w:lvlJc w:val="left"/>
      <w:pPr>
        <w:tabs>
          <w:tab w:val="num" w:pos="2835"/>
        </w:tabs>
        <w:ind w:left="1985" w:firstLine="0"/>
      </w:pPr>
      <w:rPr>
        <w:rFonts w:hint="default"/>
      </w:rPr>
    </w:lvl>
    <w:lvl w:ilvl="3">
      <w:start w:val="1"/>
      <w:numFmt w:val="lowerLetter"/>
      <w:lvlText w:val="(%4)"/>
      <w:lvlJc w:val="left"/>
      <w:pPr>
        <w:ind w:left="1208" w:hanging="357"/>
      </w:pPr>
      <w:rPr>
        <w:rFonts w:hint="default"/>
      </w:rPr>
    </w:lvl>
    <w:lvl w:ilvl="4">
      <w:start w:val="1"/>
      <w:numFmt w:val="lowerLetter"/>
      <w:lvlText w:val="(%5)"/>
      <w:lvlJc w:val="left"/>
      <w:pPr>
        <w:ind w:left="1208" w:hanging="357"/>
      </w:pPr>
      <w:rPr>
        <w:rFonts w:hint="default"/>
      </w:rPr>
    </w:lvl>
    <w:lvl w:ilvl="5">
      <w:start w:val="1"/>
      <w:numFmt w:val="lowerRoman"/>
      <w:lvlText w:val="(%6)"/>
      <w:lvlJc w:val="left"/>
      <w:pPr>
        <w:ind w:left="1208" w:hanging="357"/>
      </w:pPr>
      <w:rPr>
        <w:rFonts w:hint="default"/>
      </w:rPr>
    </w:lvl>
    <w:lvl w:ilvl="6">
      <w:start w:val="1"/>
      <w:numFmt w:val="decimal"/>
      <w:lvlText w:val="%7."/>
      <w:lvlJc w:val="left"/>
      <w:pPr>
        <w:ind w:left="1208" w:hanging="357"/>
      </w:pPr>
      <w:rPr>
        <w:rFonts w:hint="default"/>
      </w:rPr>
    </w:lvl>
    <w:lvl w:ilvl="7">
      <w:start w:val="1"/>
      <w:numFmt w:val="lowerLetter"/>
      <w:lvlText w:val="%8."/>
      <w:lvlJc w:val="left"/>
      <w:pPr>
        <w:ind w:left="1208" w:hanging="357"/>
      </w:pPr>
      <w:rPr>
        <w:rFonts w:hint="default"/>
      </w:rPr>
    </w:lvl>
    <w:lvl w:ilvl="8">
      <w:start w:val="1"/>
      <w:numFmt w:val="lowerRoman"/>
      <w:lvlText w:val="%9."/>
      <w:lvlJc w:val="left"/>
      <w:pPr>
        <w:ind w:left="1208" w:hanging="357"/>
      </w:pPr>
      <w:rPr>
        <w:rFonts w:hint="default"/>
      </w:rPr>
    </w:lvl>
  </w:abstractNum>
  <w:abstractNum w:abstractNumId="17" w15:restartNumberingAfterBreak="0">
    <w:nsid w:val="3FA612D2"/>
    <w:multiLevelType w:val="multilevel"/>
    <w:tmpl w:val="0409001D"/>
    <w:styleLink w:val="StyleOutlinenumbered12ptBoldLeft127cmHanging063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Arial" w:hAnsi="Arial"/>
        <w:bCs/>
        <w:color w:val="242424"/>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FD801CB"/>
    <w:multiLevelType w:val="multilevel"/>
    <w:tmpl w:val="3000BE20"/>
    <w:lvl w:ilvl="0">
      <w:start w:val="1"/>
      <w:numFmt w:val="decimal"/>
      <w:lvlText w:val="%1."/>
      <w:lvlJc w:val="left"/>
      <w:pPr>
        <w:tabs>
          <w:tab w:val="num" w:pos="284"/>
        </w:tabs>
        <w:ind w:left="851" w:firstLine="0"/>
      </w:pPr>
      <w:rPr>
        <w:rFonts w:ascii="Arial" w:hAnsi="Arial" w:hint="default"/>
        <w:b/>
        <w:i w:val="0"/>
        <w:caps w:val="0"/>
        <w:sz w:val="20"/>
      </w:rPr>
    </w:lvl>
    <w:lvl w:ilvl="1">
      <w:start w:val="1"/>
      <w:numFmt w:val="decimal"/>
      <w:lvlText w:val="(%2)"/>
      <w:lvlJc w:val="left"/>
      <w:pPr>
        <w:tabs>
          <w:tab w:val="num" w:pos="1418"/>
        </w:tabs>
        <w:ind w:left="851" w:firstLine="0"/>
      </w:pPr>
      <w:rPr>
        <w:rFonts w:ascii="Arial" w:hAnsi="Arial"/>
        <w:color w:val="242424"/>
      </w:rPr>
    </w:lvl>
    <w:lvl w:ilvl="2">
      <w:start w:val="1"/>
      <w:numFmt w:val="lowerLetter"/>
      <w:lvlText w:val="(%3)"/>
      <w:lvlJc w:val="left"/>
      <w:pPr>
        <w:tabs>
          <w:tab w:val="num" w:pos="2835"/>
        </w:tabs>
        <w:ind w:left="1985" w:firstLine="0"/>
      </w:pPr>
      <w:rPr>
        <w:rFonts w:hint="default"/>
      </w:rPr>
    </w:lvl>
    <w:lvl w:ilvl="3">
      <w:start w:val="1"/>
      <w:numFmt w:val="lowerLetter"/>
      <w:lvlText w:val="(%4)"/>
      <w:lvlJc w:val="left"/>
      <w:pPr>
        <w:ind w:left="1208" w:hanging="357"/>
      </w:pPr>
      <w:rPr>
        <w:rFonts w:hint="default"/>
      </w:rPr>
    </w:lvl>
    <w:lvl w:ilvl="4">
      <w:start w:val="1"/>
      <w:numFmt w:val="lowerLetter"/>
      <w:lvlText w:val="(%5)"/>
      <w:lvlJc w:val="left"/>
      <w:pPr>
        <w:ind w:left="1208" w:hanging="357"/>
      </w:pPr>
      <w:rPr>
        <w:rFonts w:hint="default"/>
      </w:rPr>
    </w:lvl>
    <w:lvl w:ilvl="5">
      <w:start w:val="1"/>
      <w:numFmt w:val="lowerRoman"/>
      <w:lvlText w:val="(%6)"/>
      <w:lvlJc w:val="left"/>
      <w:pPr>
        <w:ind w:left="1208" w:hanging="357"/>
      </w:pPr>
      <w:rPr>
        <w:rFonts w:hint="default"/>
      </w:rPr>
    </w:lvl>
    <w:lvl w:ilvl="6">
      <w:start w:val="1"/>
      <w:numFmt w:val="decimal"/>
      <w:lvlText w:val="%7."/>
      <w:lvlJc w:val="left"/>
      <w:pPr>
        <w:ind w:left="1208" w:hanging="357"/>
      </w:pPr>
      <w:rPr>
        <w:rFonts w:hint="default"/>
      </w:rPr>
    </w:lvl>
    <w:lvl w:ilvl="7">
      <w:start w:val="1"/>
      <w:numFmt w:val="lowerLetter"/>
      <w:lvlText w:val="%8."/>
      <w:lvlJc w:val="left"/>
      <w:pPr>
        <w:ind w:left="1208" w:hanging="357"/>
      </w:pPr>
      <w:rPr>
        <w:rFonts w:hint="default"/>
      </w:rPr>
    </w:lvl>
    <w:lvl w:ilvl="8">
      <w:start w:val="1"/>
      <w:numFmt w:val="lowerRoman"/>
      <w:lvlText w:val="%9."/>
      <w:lvlJc w:val="left"/>
      <w:pPr>
        <w:ind w:left="1208" w:hanging="357"/>
      </w:pPr>
      <w:rPr>
        <w:rFonts w:hint="default"/>
      </w:rPr>
    </w:lvl>
  </w:abstractNum>
  <w:abstractNum w:abstractNumId="19"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b/>
        <w:sz w:val="20"/>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ascii="Arial" w:hAnsi="Arial"/>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sz w:val="20"/>
      </w:rPr>
    </w:lvl>
    <w:lvl w:ilvl="1">
      <w:start w:val="1"/>
      <w:numFmt w:val="lowerLetter"/>
      <w:lvlText w:val="%2)"/>
      <w:lvlJc w:val="left"/>
      <w:pPr>
        <w:ind w:left="720" w:hanging="360"/>
      </w:pPr>
    </w:lvl>
    <w:lvl w:ilvl="2">
      <w:start w:val="1"/>
      <w:numFmt w:val="lowerRoman"/>
      <w:lvlText w:val="%3)"/>
      <w:lvlJc w:val="left"/>
      <w:pPr>
        <w:ind w:left="1080" w:hanging="360"/>
      </w:pPr>
      <w:rPr>
        <w:rFonts w:ascii="Arial" w:hAnsi="Arial"/>
        <w:b/>
        <w:bCs/>
        <w:color w:val="242424"/>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BB23F7E"/>
    <w:multiLevelType w:val="hybridMultilevel"/>
    <w:tmpl w:val="F5CAD070"/>
    <w:lvl w:ilvl="0" w:tplc="D2DAA126">
      <w:start w:val="1"/>
      <w:numFmt w:val="decimal"/>
      <w:lvlText w:val="%1."/>
      <w:lvlJc w:val="left"/>
      <w:pPr>
        <w:ind w:left="360" w:hanging="360"/>
      </w:pPr>
      <w:rPr>
        <w:b/>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36D3466"/>
    <w:multiLevelType w:val="multilevel"/>
    <w:tmpl w:val="6E2E511E"/>
    <w:styleLink w:val="TreasuryBullets-Alternate"/>
    <w:lvl w:ilvl="0">
      <w:start w:val="1"/>
      <w:numFmt w:val="decimal"/>
      <w:suff w:val="space"/>
      <w:lvlText w:val="%1)"/>
      <w:lvlJc w:val="left"/>
      <w:pPr>
        <w:ind w:left="0" w:firstLine="360"/>
      </w:pPr>
      <w:rPr>
        <w:rFonts w:ascii="Arial" w:hAnsi="Arial" w:hint="default"/>
        <w:b/>
        <w:bCs/>
        <w:caps/>
        <w:sz w:val="24"/>
      </w:rPr>
    </w:lvl>
    <w:lvl w:ilvl="1">
      <w:start w:val="1"/>
      <w:numFmt w:val="lowerLetter"/>
      <w:suff w:val="space"/>
      <w:lvlText w:val="%2)"/>
      <w:lvlJc w:val="left"/>
      <w:pPr>
        <w:ind w:left="1080" w:hanging="360"/>
      </w:pPr>
      <w:rPr>
        <w:rFonts w:ascii="Arial" w:hAnsi="Arial" w:hint="default"/>
        <w:sz w:val="20"/>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3"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413A63"/>
    <w:multiLevelType w:val="multilevel"/>
    <w:tmpl w:val="8134477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pStyle w:val="StyleOutlinenumbered12ptBoldLeft127cmHanging0633"/>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b/>
        <w:sz w:val="20"/>
      </w:rPr>
    </w:lvl>
    <w:lvl w:ilvl="1">
      <w:start w:val="1"/>
      <w:numFmt w:val="decimal"/>
      <w:lvlText w:val="%1.%2"/>
      <w:lvlJc w:val="left"/>
      <w:pPr>
        <w:tabs>
          <w:tab w:val="num" w:pos="720"/>
        </w:tabs>
        <w:ind w:left="720" w:hanging="720"/>
      </w:pPr>
      <w:rPr>
        <w:rFonts w:ascii="Arial" w:hAnsi="Arial"/>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80624C1"/>
    <w:multiLevelType w:val="multilevel"/>
    <w:tmpl w:val="8DCE878A"/>
    <w:lvl w:ilvl="0">
      <w:start w:val="1"/>
      <w:numFmt w:val="decimal"/>
      <w:pStyle w:val="HeadingLevel1-Bulleted"/>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81575BD"/>
    <w:multiLevelType w:val="multilevel"/>
    <w:tmpl w:val="58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5B6850"/>
    <w:multiLevelType w:val="multilevel"/>
    <w:tmpl w:val="3000BE20"/>
    <w:lvl w:ilvl="0">
      <w:start w:val="1"/>
      <w:numFmt w:val="decimal"/>
      <w:lvlText w:val="%1."/>
      <w:lvlJc w:val="left"/>
      <w:pPr>
        <w:tabs>
          <w:tab w:val="num" w:pos="284"/>
        </w:tabs>
        <w:ind w:left="851" w:firstLine="0"/>
      </w:pPr>
      <w:rPr>
        <w:rFonts w:ascii="Arial" w:hAnsi="Arial" w:hint="default"/>
        <w:b/>
        <w:i w:val="0"/>
        <w:caps w:val="0"/>
        <w:sz w:val="20"/>
      </w:rPr>
    </w:lvl>
    <w:lvl w:ilvl="1">
      <w:start w:val="1"/>
      <w:numFmt w:val="decimal"/>
      <w:lvlText w:val="(%2)"/>
      <w:lvlJc w:val="left"/>
      <w:pPr>
        <w:tabs>
          <w:tab w:val="num" w:pos="1418"/>
        </w:tabs>
        <w:ind w:left="851" w:firstLine="0"/>
      </w:pPr>
      <w:rPr>
        <w:rFonts w:ascii="Arial" w:hAnsi="Arial"/>
        <w:color w:val="242424"/>
      </w:rPr>
    </w:lvl>
    <w:lvl w:ilvl="2">
      <w:start w:val="1"/>
      <w:numFmt w:val="lowerLetter"/>
      <w:lvlText w:val="(%3)"/>
      <w:lvlJc w:val="left"/>
      <w:pPr>
        <w:tabs>
          <w:tab w:val="num" w:pos="2835"/>
        </w:tabs>
        <w:ind w:left="1985" w:firstLine="0"/>
      </w:pPr>
      <w:rPr>
        <w:rFonts w:hint="default"/>
      </w:rPr>
    </w:lvl>
    <w:lvl w:ilvl="3">
      <w:start w:val="1"/>
      <w:numFmt w:val="lowerLetter"/>
      <w:lvlText w:val="(%4)"/>
      <w:lvlJc w:val="left"/>
      <w:pPr>
        <w:ind w:left="1208" w:hanging="357"/>
      </w:pPr>
      <w:rPr>
        <w:rFonts w:hint="default"/>
      </w:rPr>
    </w:lvl>
    <w:lvl w:ilvl="4">
      <w:start w:val="1"/>
      <w:numFmt w:val="lowerLetter"/>
      <w:lvlText w:val="(%5)"/>
      <w:lvlJc w:val="left"/>
      <w:pPr>
        <w:ind w:left="1208" w:hanging="357"/>
      </w:pPr>
      <w:rPr>
        <w:rFonts w:hint="default"/>
      </w:rPr>
    </w:lvl>
    <w:lvl w:ilvl="5">
      <w:start w:val="1"/>
      <w:numFmt w:val="lowerRoman"/>
      <w:lvlText w:val="(%6)"/>
      <w:lvlJc w:val="left"/>
      <w:pPr>
        <w:ind w:left="1208" w:hanging="357"/>
      </w:pPr>
      <w:rPr>
        <w:rFonts w:hint="default"/>
      </w:rPr>
    </w:lvl>
    <w:lvl w:ilvl="6">
      <w:start w:val="1"/>
      <w:numFmt w:val="decimal"/>
      <w:lvlText w:val="%7."/>
      <w:lvlJc w:val="left"/>
      <w:pPr>
        <w:ind w:left="1208" w:hanging="357"/>
      </w:pPr>
      <w:rPr>
        <w:rFonts w:hint="default"/>
      </w:rPr>
    </w:lvl>
    <w:lvl w:ilvl="7">
      <w:start w:val="1"/>
      <w:numFmt w:val="lowerLetter"/>
      <w:lvlText w:val="%8."/>
      <w:lvlJc w:val="left"/>
      <w:pPr>
        <w:ind w:left="1208" w:hanging="357"/>
      </w:pPr>
      <w:rPr>
        <w:rFonts w:hint="default"/>
      </w:rPr>
    </w:lvl>
    <w:lvl w:ilvl="8">
      <w:start w:val="1"/>
      <w:numFmt w:val="lowerRoman"/>
      <w:lvlText w:val="%9."/>
      <w:lvlJc w:val="left"/>
      <w:pPr>
        <w:ind w:left="1208" w:hanging="357"/>
      </w:pPr>
      <w:rPr>
        <w:rFonts w:hint="default"/>
      </w:rPr>
    </w:lvl>
  </w:abstractNum>
  <w:abstractNum w:abstractNumId="29" w15:restartNumberingAfterBreak="0">
    <w:nsid w:val="58910E81"/>
    <w:multiLevelType w:val="multilevel"/>
    <w:tmpl w:val="7CAE9A66"/>
    <w:styleLink w:val="TreasuryNumberLettersBullets"/>
    <w:lvl w:ilvl="0">
      <w:start w:val="1"/>
      <w:numFmt w:val="decimal"/>
      <w:lvlText w:val="%1."/>
      <w:lvlJc w:val="left"/>
      <w:pPr>
        <w:tabs>
          <w:tab w:val="num" w:pos="284"/>
        </w:tabs>
        <w:ind w:left="851" w:firstLine="0"/>
      </w:pPr>
      <w:rPr>
        <w:rFonts w:ascii="Arial" w:hAnsi="Arial" w:hint="default"/>
        <w:b/>
        <w:i w:val="0"/>
        <w:caps w:val="0"/>
        <w:sz w:val="20"/>
      </w:rPr>
    </w:lvl>
    <w:lvl w:ilvl="1">
      <w:start w:val="1"/>
      <w:numFmt w:val="decimal"/>
      <w:lvlText w:val="(%2)"/>
      <w:lvlJc w:val="left"/>
      <w:pPr>
        <w:tabs>
          <w:tab w:val="num" w:pos="1418"/>
        </w:tabs>
        <w:ind w:left="851" w:firstLine="0"/>
      </w:pPr>
      <w:rPr>
        <w:rFonts w:hint="default"/>
      </w:rPr>
    </w:lvl>
    <w:lvl w:ilvl="2">
      <w:start w:val="1"/>
      <w:numFmt w:val="lowerLetter"/>
      <w:lvlText w:val="(%3)"/>
      <w:lvlJc w:val="left"/>
      <w:pPr>
        <w:tabs>
          <w:tab w:val="num" w:pos="2835"/>
        </w:tabs>
        <w:ind w:left="1985" w:firstLine="0"/>
      </w:pPr>
      <w:rPr>
        <w:rFonts w:hint="default"/>
      </w:rPr>
    </w:lvl>
    <w:lvl w:ilvl="3">
      <w:start w:val="1"/>
      <w:numFmt w:val="lowerLetter"/>
      <w:lvlText w:val="(%4)"/>
      <w:lvlJc w:val="left"/>
      <w:pPr>
        <w:ind w:left="1208" w:hanging="357"/>
      </w:pPr>
      <w:rPr>
        <w:rFonts w:hint="default"/>
      </w:rPr>
    </w:lvl>
    <w:lvl w:ilvl="4">
      <w:start w:val="1"/>
      <w:numFmt w:val="lowerLetter"/>
      <w:lvlText w:val="(%5)"/>
      <w:lvlJc w:val="left"/>
      <w:pPr>
        <w:ind w:left="1208" w:hanging="357"/>
      </w:pPr>
      <w:rPr>
        <w:rFonts w:hint="default"/>
      </w:rPr>
    </w:lvl>
    <w:lvl w:ilvl="5">
      <w:start w:val="1"/>
      <w:numFmt w:val="lowerRoman"/>
      <w:lvlText w:val="(%6)"/>
      <w:lvlJc w:val="left"/>
      <w:pPr>
        <w:ind w:left="1208" w:hanging="357"/>
      </w:pPr>
      <w:rPr>
        <w:rFonts w:hint="default"/>
      </w:rPr>
    </w:lvl>
    <w:lvl w:ilvl="6">
      <w:start w:val="1"/>
      <w:numFmt w:val="decimal"/>
      <w:lvlText w:val="%7."/>
      <w:lvlJc w:val="left"/>
      <w:pPr>
        <w:ind w:left="1208" w:hanging="357"/>
      </w:pPr>
      <w:rPr>
        <w:rFonts w:hint="default"/>
      </w:rPr>
    </w:lvl>
    <w:lvl w:ilvl="7">
      <w:start w:val="1"/>
      <w:numFmt w:val="lowerLetter"/>
      <w:lvlText w:val="%8."/>
      <w:lvlJc w:val="left"/>
      <w:pPr>
        <w:ind w:left="1208" w:hanging="357"/>
      </w:pPr>
      <w:rPr>
        <w:rFonts w:hint="default"/>
      </w:rPr>
    </w:lvl>
    <w:lvl w:ilvl="8">
      <w:start w:val="1"/>
      <w:numFmt w:val="lowerRoman"/>
      <w:lvlText w:val="%9."/>
      <w:lvlJc w:val="left"/>
      <w:pPr>
        <w:ind w:left="1208" w:hanging="357"/>
      </w:pPr>
      <w:rPr>
        <w:rFonts w:hint="default"/>
      </w:rPr>
    </w:lvl>
  </w:abstractNum>
  <w:abstractNum w:abstractNumId="30"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b/>
        <w:sz w:val="20"/>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599B5DC8"/>
    <w:multiLevelType w:val="multilevel"/>
    <w:tmpl w:val="3000BE20"/>
    <w:lvl w:ilvl="0">
      <w:start w:val="1"/>
      <w:numFmt w:val="decimal"/>
      <w:lvlText w:val="%1."/>
      <w:lvlJc w:val="left"/>
      <w:pPr>
        <w:tabs>
          <w:tab w:val="num" w:pos="284"/>
        </w:tabs>
        <w:ind w:left="851" w:firstLine="0"/>
      </w:pPr>
      <w:rPr>
        <w:rFonts w:ascii="Arial" w:hAnsi="Arial" w:hint="default"/>
        <w:b/>
        <w:i w:val="0"/>
        <w:caps w:val="0"/>
        <w:sz w:val="20"/>
      </w:rPr>
    </w:lvl>
    <w:lvl w:ilvl="1">
      <w:start w:val="1"/>
      <w:numFmt w:val="decimal"/>
      <w:lvlText w:val="(%2)"/>
      <w:lvlJc w:val="left"/>
      <w:pPr>
        <w:tabs>
          <w:tab w:val="num" w:pos="1418"/>
        </w:tabs>
        <w:ind w:left="851" w:firstLine="0"/>
      </w:pPr>
      <w:rPr>
        <w:rFonts w:hint="default"/>
      </w:rPr>
    </w:lvl>
    <w:lvl w:ilvl="2">
      <w:start w:val="1"/>
      <w:numFmt w:val="lowerLetter"/>
      <w:lvlText w:val="(%3)"/>
      <w:lvlJc w:val="left"/>
      <w:pPr>
        <w:tabs>
          <w:tab w:val="num" w:pos="2835"/>
        </w:tabs>
        <w:ind w:left="1985" w:firstLine="0"/>
      </w:pPr>
      <w:rPr>
        <w:rFonts w:hint="default"/>
      </w:rPr>
    </w:lvl>
    <w:lvl w:ilvl="3">
      <w:start w:val="1"/>
      <w:numFmt w:val="lowerLetter"/>
      <w:lvlText w:val="(%4)"/>
      <w:lvlJc w:val="left"/>
      <w:pPr>
        <w:ind w:left="1208" w:hanging="357"/>
      </w:pPr>
      <w:rPr>
        <w:rFonts w:hint="default"/>
      </w:rPr>
    </w:lvl>
    <w:lvl w:ilvl="4">
      <w:start w:val="1"/>
      <w:numFmt w:val="lowerLetter"/>
      <w:lvlText w:val="(%5)"/>
      <w:lvlJc w:val="left"/>
      <w:pPr>
        <w:ind w:left="1208" w:hanging="357"/>
      </w:pPr>
      <w:rPr>
        <w:rFonts w:hint="default"/>
      </w:rPr>
    </w:lvl>
    <w:lvl w:ilvl="5">
      <w:start w:val="1"/>
      <w:numFmt w:val="lowerRoman"/>
      <w:lvlText w:val="(%6)"/>
      <w:lvlJc w:val="left"/>
      <w:pPr>
        <w:ind w:left="1208" w:hanging="357"/>
      </w:pPr>
      <w:rPr>
        <w:rFonts w:hint="default"/>
      </w:rPr>
    </w:lvl>
    <w:lvl w:ilvl="6">
      <w:start w:val="1"/>
      <w:numFmt w:val="decimal"/>
      <w:lvlText w:val="%7."/>
      <w:lvlJc w:val="left"/>
      <w:pPr>
        <w:ind w:left="1208" w:hanging="357"/>
      </w:pPr>
      <w:rPr>
        <w:rFonts w:hint="default"/>
      </w:rPr>
    </w:lvl>
    <w:lvl w:ilvl="7">
      <w:start w:val="1"/>
      <w:numFmt w:val="lowerLetter"/>
      <w:lvlText w:val="%8."/>
      <w:lvlJc w:val="left"/>
      <w:pPr>
        <w:ind w:left="1208" w:hanging="357"/>
      </w:pPr>
      <w:rPr>
        <w:rFonts w:hint="default"/>
      </w:rPr>
    </w:lvl>
    <w:lvl w:ilvl="8">
      <w:start w:val="1"/>
      <w:numFmt w:val="lowerRoman"/>
      <w:lvlText w:val="%9."/>
      <w:lvlJc w:val="left"/>
      <w:pPr>
        <w:ind w:left="1208" w:hanging="357"/>
      </w:pPr>
      <w:rPr>
        <w:rFonts w:hint="default"/>
      </w:rPr>
    </w:lvl>
  </w:abstractNum>
  <w:abstractNum w:abstractNumId="32" w15:restartNumberingAfterBreak="0">
    <w:nsid w:val="5B9C3223"/>
    <w:multiLevelType w:val="hybridMultilevel"/>
    <w:tmpl w:val="67E41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8022FD"/>
    <w:multiLevelType w:val="hybridMultilevel"/>
    <w:tmpl w:val="1E645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hint="default"/>
        <w:b/>
        <w:sz w:val="20"/>
      </w:rPr>
    </w:lvl>
    <w:lvl w:ilvl="1">
      <w:start w:val="1"/>
      <w:numFmt w:val="decimal"/>
      <w:lvlText w:val="%1.%2"/>
      <w:lvlJc w:val="left"/>
      <w:pPr>
        <w:tabs>
          <w:tab w:val="num" w:pos="851"/>
        </w:tabs>
        <w:ind w:left="1418" w:hanging="567"/>
      </w:pPr>
      <w:rPr>
        <w:rFonts w:ascii="Arial" w:hAnsi="Arial" w:hint="default"/>
        <w:sz w:val="20"/>
      </w:rPr>
    </w:lvl>
    <w:lvl w:ilvl="2">
      <w:start w:val="1"/>
      <w:numFmt w:val="decimal"/>
      <w:lvlText w:val="%1.%2.%3"/>
      <w:lvlJc w:val="left"/>
      <w:pPr>
        <w:tabs>
          <w:tab w:val="num" w:pos="851"/>
        </w:tabs>
        <w:ind w:left="1134" w:hanging="283"/>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b/>
        <w:sz w:val="24"/>
      </w:rPr>
    </w:lvl>
    <w:lvl w:ilvl="1">
      <w:start w:val="1"/>
      <w:numFmt w:val="decimal"/>
      <w:lvlText w:val="%1.%2"/>
      <w:lvlJc w:val="left"/>
      <w:pPr>
        <w:tabs>
          <w:tab w:val="num" w:pos="720"/>
        </w:tabs>
        <w:ind w:left="720" w:hanging="720"/>
      </w:pPr>
      <w:rPr>
        <w:rFonts w:ascii="Arial" w:hAnsi="Arial"/>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b/>
        <w:bCs/>
        <w:color w:val="242424"/>
        <w:sz w:val="24"/>
      </w:rPr>
    </w:lvl>
    <w:lvl w:ilvl="1">
      <w:start w:val="1"/>
      <w:numFmt w:val="lowerLetter"/>
      <w:lvlText w:val="%2)"/>
      <w:lvlJc w:val="left"/>
      <w:pPr>
        <w:ind w:left="720" w:hanging="360"/>
      </w:pPr>
    </w:lvl>
    <w:lvl w:ilvl="2">
      <w:start w:val="1"/>
      <w:numFmt w:val="lowerRoman"/>
      <w:lvlText w:val="%3)"/>
      <w:lvlJc w:val="left"/>
      <w:pPr>
        <w:ind w:left="1080" w:hanging="360"/>
      </w:pPr>
      <w:rPr>
        <w:rFonts w:ascii="Arial" w:hAnsi="Arial"/>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9DC6E4D"/>
    <w:multiLevelType w:val="hybridMultilevel"/>
    <w:tmpl w:val="7D6E70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6B5F7682"/>
    <w:multiLevelType w:val="multilevel"/>
    <w:tmpl w:val="6B24E22C"/>
    <w:numStyleLink w:val="StyleStyleTreasuryBullets"/>
  </w:abstractNum>
  <w:abstractNum w:abstractNumId="39" w15:restartNumberingAfterBreak="0">
    <w:nsid w:val="6C891388"/>
    <w:multiLevelType w:val="hybridMultilevel"/>
    <w:tmpl w:val="047447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6E254870"/>
    <w:multiLevelType w:val="hybridMultilevel"/>
    <w:tmpl w:val="80A227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b/>
        <w:sz w:val="20"/>
      </w:rPr>
    </w:lvl>
    <w:lvl w:ilvl="1">
      <w:start w:val="1"/>
      <w:numFmt w:val="decimal"/>
      <w:lvlText w:val="%1.%2"/>
      <w:lvlJc w:val="left"/>
      <w:pPr>
        <w:tabs>
          <w:tab w:val="num" w:pos="720"/>
        </w:tabs>
        <w:ind w:left="720" w:hanging="720"/>
      </w:pPr>
      <w:rPr>
        <w:rFonts w:ascii="Arial" w:hAnsi="Arial"/>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b/>
        <w:sz w:val="20"/>
      </w:rPr>
    </w:lvl>
    <w:lvl w:ilvl="1">
      <w:start w:val="1"/>
      <w:numFmt w:val="decimal"/>
      <w:lvlText w:val="%1.%2"/>
      <w:lvlJc w:val="left"/>
      <w:pPr>
        <w:tabs>
          <w:tab w:val="num" w:pos="720"/>
        </w:tabs>
        <w:ind w:left="720" w:hanging="720"/>
      </w:pPr>
      <w:rPr>
        <w:rFonts w:ascii="Arial" w:hAnsi="Arial"/>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36C4B9C"/>
    <w:multiLevelType w:val="hybridMultilevel"/>
    <w:tmpl w:val="C6B48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433AF7"/>
    <w:multiLevelType w:val="hybridMultilevel"/>
    <w:tmpl w:val="8F10E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CF647A5"/>
    <w:multiLevelType w:val="hybridMultilevel"/>
    <w:tmpl w:val="146488C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11"/>
  </w:num>
  <w:num w:numId="3">
    <w:abstractNumId w:val="30"/>
  </w:num>
  <w:num w:numId="4">
    <w:abstractNumId w:val="25"/>
  </w:num>
  <w:num w:numId="5">
    <w:abstractNumId w:val="35"/>
  </w:num>
  <w:num w:numId="6">
    <w:abstractNumId w:val="34"/>
  </w:num>
  <w:num w:numId="7">
    <w:abstractNumId w:val="2"/>
  </w:num>
  <w:num w:numId="8">
    <w:abstractNumId w:val="8"/>
  </w:num>
  <w:num w:numId="9">
    <w:abstractNumId w:val="42"/>
  </w:num>
  <w:num w:numId="10">
    <w:abstractNumId w:val="12"/>
  </w:num>
  <w:num w:numId="11">
    <w:abstractNumId w:val="22"/>
  </w:num>
  <w:num w:numId="12">
    <w:abstractNumId w:val="41"/>
  </w:num>
  <w:num w:numId="13">
    <w:abstractNumId w:val="19"/>
  </w:num>
  <w:num w:numId="14">
    <w:abstractNumId w:val="13"/>
  </w:num>
  <w:num w:numId="15">
    <w:abstractNumId w:val="5"/>
  </w:num>
  <w:num w:numId="16">
    <w:abstractNumId w:val="29"/>
  </w:num>
  <w:num w:numId="17">
    <w:abstractNumId w:val="26"/>
  </w:num>
  <w:num w:numId="18">
    <w:abstractNumId w:val="20"/>
  </w:num>
  <w:num w:numId="19">
    <w:abstractNumId w:val="17"/>
  </w:num>
  <w:num w:numId="20">
    <w:abstractNumId w:val="6"/>
  </w:num>
  <w:num w:numId="21">
    <w:abstractNumId w:val="24"/>
  </w:num>
  <w:num w:numId="22">
    <w:abstractNumId w:val="36"/>
  </w:num>
  <w:num w:numId="23">
    <w:abstractNumId w:val="38"/>
  </w:num>
  <w:num w:numId="24">
    <w:abstractNumId w:val="31"/>
  </w:num>
  <w:num w:numId="25">
    <w:abstractNumId w:val="16"/>
  </w:num>
  <w:num w:numId="26">
    <w:abstractNumId w:val="28"/>
  </w:num>
  <w:num w:numId="27">
    <w:abstractNumId w:val="14"/>
  </w:num>
  <w:num w:numId="28">
    <w:abstractNumId w:val="18"/>
  </w:num>
  <w:num w:numId="29">
    <w:abstractNumId w:val="9"/>
    <w:lvlOverride w:ilvl="0">
      <w:startOverride w:val="1"/>
    </w:lvlOverride>
    <w:lvlOverride w:ilvl="1"/>
    <w:lvlOverride w:ilvl="2"/>
    <w:lvlOverride w:ilvl="3"/>
    <w:lvlOverride w:ilvl="4"/>
    <w:lvlOverride w:ilvl="5"/>
    <w:lvlOverride w:ilvl="6"/>
    <w:lvlOverride w:ilvl="7"/>
    <w:lvlOverride w:ilvl="8"/>
  </w:num>
  <w:num w:numId="30">
    <w:abstractNumId w:val="27"/>
  </w:num>
  <w:num w:numId="31">
    <w:abstractNumId w:val="9"/>
  </w:num>
  <w:num w:numId="32">
    <w:abstractNumId w:val="44"/>
  </w:num>
  <w:num w:numId="33">
    <w:abstractNumId w:val="43"/>
  </w:num>
  <w:num w:numId="34">
    <w:abstractNumId w:val="32"/>
  </w:num>
  <w:num w:numId="35">
    <w:abstractNumId w:val="7"/>
  </w:num>
  <w:num w:numId="36">
    <w:abstractNumId w:val="10"/>
  </w:num>
  <w:num w:numId="37">
    <w:abstractNumId w:val="21"/>
  </w:num>
  <w:num w:numId="38">
    <w:abstractNumId w:val="45"/>
  </w:num>
  <w:num w:numId="39">
    <w:abstractNumId w:val="15"/>
  </w:num>
  <w:num w:numId="40">
    <w:abstractNumId w:val="4"/>
  </w:num>
  <w:num w:numId="41">
    <w:abstractNumId w:val="23"/>
  </w:num>
  <w:num w:numId="42">
    <w:abstractNumId w:val="0"/>
  </w:num>
  <w:num w:numId="43">
    <w:abstractNumId w:val="33"/>
  </w:num>
  <w:num w:numId="44">
    <w:abstractNumId w:val="40"/>
  </w:num>
  <w:num w:numId="45">
    <w:abstractNumId w:val="39"/>
  </w:num>
  <w:num w:numId="46">
    <w:abstractNumId w:val="37"/>
  </w:num>
  <w:num w:numId="47">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0401" w:allStyles="1" w:customStyles="0" w:latentStyles="0" w:stylesInUse="0" w:headingStyles="0" w:numberingStyles="0" w:tableStyles="0" w:directFormattingOnRuns="0" w:directFormattingOnParagraphs="0" w:directFormattingOnNumbering="1" w:directFormattingOnTables="0" w:clearFormatting="0" w:top3HeadingStyles="0" w:visibleStyles="0" w:alternateStyleNames="0"/>
  <w:stylePaneSortMethod w:val="0000"/>
  <w:defaultTabStop w:val="720"/>
  <w:drawingGridHorizontalSpacing w:val="105"/>
  <w:displayHorizontalDrawingGridEvery w:val="0"/>
  <w:displayVerticalDrawingGridEvery w:val="0"/>
  <w:noPunctuationKerning/>
  <w:characterSpacingControl w:val="doNotCompress"/>
  <w:hdrShapeDefaults>
    <o:shapedefaults v:ext="edit" spidmax="2049">
      <o:colormru v:ext="edit" colors="#5c7f9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F3F"/>
    <w:rsid w:val="00003480"/>
    <w:rsid w:val="00010A83"/>
    <w:rsid w:val="00021552"/>
    <w:rsid w:val="0002283F"/>
    <w:rsid w:val="00023CFD"/>
    <w:rsid w:val="00025423"/>
    <w:rsid w:val="000442B7"/>
    <w:rsid w:val="0005680C"/>
    <w:rsid w:val="00056B22"/>
    <w:rsid w:val="00070FA8"/>
    <w:rsid w:val="00071EF6"/>
    <w:rsid w:val="00075B2A"/>
    <w:rsid w:val="000763CA"/>
    <w:rsid w:val="00082E1C"/>
    <w:rsid w:val="00093600"/>
    <w:rsid w:val="00095B0B"/>
    <w:rsid w:val="000A71FB"/>
    <w:rsid w:val="000B31AB"/>
    <w:rsid w:val="000C0C0D"/>
    <w:rsid w:val="000C4687"/>
    <w:rsid w:val="000D214F"/>
    <w:rsid w:val="000D5BD0"/>
    <w:rsid w:val="000E3FE6"/>
    <w:rsid w:val="000E5636"/>
    <w:rsid w:val="000F0346"/>
    <w:rsid w:val="000F553F"/>
    <w:rsid w:val="00110ABD"/>
    <w:rsid w:val="0011176C"/>
    <w:rsid w:val="001149AD"/>
    <w:rsid w:val="001162FA"/>
    <w:rsid w:val="00120117"/>
    <w:rsid w:val="00120ACF"/>
    <w:rsid w:val="00130A0B"/>
    <w:rsid w:val="00142D45"/>
    <w:rsid w:val="00146CE9"/>
    <w:rsid w:val="00171730"/>
    <w:rsid w:val="001728D2"/>
    <w:rsid w:val="0019096D"/>
    <w:rsid w:val="001924DD"/>
    <w:rsid w:val="001967A3"/>
    <w:rsid w:val="001A0CD9"/>
    <w:rsid w:val="001A0D63"/>
    <w:rsid w:val="001A27AE"/>
    <w:rsid w:val="001C04B9"/>
    <w:rsid w:val="001C0FD5"/>
    <w:rsid w:val="001E20BC"/>
    <w:rsid w:val="0020436A"/>
    <w:rsid w:val="00205CEC"/>
    <w:rsid w:val="00212BC3"/>
    <w:rsid w:val="00214773"/>
    <w:rsid w:val="00214966"/>
    <w:rsid w:val="0022163E"/>
    <w:rsid w:val="00226920"/>
    <w:rsid w:val="00237DFD"/>
    <w:rsid w:val="0025087A"/>
    <w:rsid w:val="00253D61"/>
    <w:rsid w:val="002544FF"/>
    <w:rsid w:val="00255F4C"/>
    <w:rsid w:val="00260395"/>
    <w:rsid w:val="00261483"/>
    <w:rsid w:val="002648E4"/>
    <w:rsid w:val="00270289"/>
    <w:rsid w:val="00272D2B"/>
    <w:rsid w:val="002837F5"/>
    <w:rsid w:val="00285DD7"/>
    <w:rsid w:val="00292A74"/>
    <w:rsid w:val="002B69F2"/>
    <w:rsid w:val="002D3C97"/>
    <w:rsid w:val="002F3821"/>
    <w:rsid w:val="0031360E"/>
    <w:rsid w:val="00321872"/>
    <w:rsid w:val="00341704"/>
    <w:rsid w:val="00345409"/>
    <w:rsid w:val="003505DC"/>
    <w:rsid w:val="00371E12"/>
    <w:rsid w:val="003845BC"/>
    <w:rsid w:val="003926EA"/>
    <w:rsid w:val="0039407B"/>
    <w:rsid w:val="003B2D7E"/>
    <w:rsid w:val="003B6235"/>
    <w:rsid w:val="003B663D"/>
    <w:rsid w:val="003C3F49"/>
    <w:rsid w:val="003D7DC2"/>
    <w:rsid w:val="003F771D"/>
    <w:rsid w:val="004117CB"/>
    <w:rsid w:val="00417C03"/>
    <w:rsid w:val="00420B51"/>
    <w:rsid w:val="004248B1"/>
    <w:rsid w:val="00426B6F"/>
    <w:rsid w:val="00430792"/>
    <w:rsid w:val="00431659"/>
    <w:rsid w:val="004319BB"/>
    <w:rsid w:val="00432059"/>
    <w:rsid w:val="00433411"/>
    <w:rsid w:val="00434964"/>
    <w:rsid w:val="004400C0"/>
    <w:rsid w:val="004420D1"/>
    <w:rsid w:val="0044703C"/>
    <w:rsid w:val="00454447"/>
    <w:rsid w:val="00457BB6"/>
    <w:rsid w:val="00462174"/>
    <w:rsid w:val="00465217"/>
    <w:rsid w:val="004665A2"/>
    <w:rsid w:val="00476985"/>
    <w:rsid w:val="00477A2C"/>
    <w:rsid w:val="00477AEF"/>
    <w:rsid w:val="00491E8A"/>
    <w:rsid w:val="004959D4"/>
    <w:rsid w:val="004A19BA"/>
    <w:rsid w:val="004A2890"/>
    <w:rsid w:val="004A3B15"/>
    <w:rsid w:val="004A5AE9"/>
    <w:rsid w:val="004B2442"/>
    <w:rsid w:val="004D025B"/>
    <w:rsid w:val="004D4A1F"/>
    <w:rsid w:val="004E3AE8"/>
    <w:rsid w:val="004E47C6"/>
    <w:rsid w:val="005036C8"/>
    <w:rsid w:val="0050462F"/>
    <w:rsid w:val="005048A5"/>
    <w:rsid w:val="00530CA1"/>
    <w:rsid w:val="005318B5"/>
    <w:rsid w:val="00550060"/>
    <w:rsid w:val="00554604"/>
    <w:rsid w:val="0055601F"/>
    <w:rsid w:val="00573377"/>
    <w:rsid w:val="00582D80"/>
    <w:rsid w:val="0059320D"/>
    <w:rsid w:val="005B55F6"/>
    <w:rsid w:val="005C1C85"/>
    <w:rsid w:val="005C6BFA"/>
    <w:rsid w:val="005D3741"/>
    <w:rsid w:val="005D70F3"/>
    <w:rsid w:val="005E2284"/>
    <w:rsid w:val="00600E6F"/>
    <w:rsid w:val="00605D86"/>
    <w:rsid w:val="006136F8"/>
    <w:rsid w:val="00620ED8"/>
    <w:rsid w:val="00621064"/>
    <w:rsid w:val="00623606"/>
    <w:rsid w:val="00633FE1"/>
    <w:rsid w:val="0065078A"/>
    <w:rsid w:val="00650BD4"/>
    <w:rsid w:val="00665403"/>
    <w:rsid w:val="00666246"/>
    <w:rsid w:val="00670AA6"/>
    <w:rsid w:val="006711AA"/>
    <w:rsid w:val="00676177"/>
    <w:rsid w:val="0068138B"/>
    <w:rsid w:val="00687A4A"/>
    <w:rsid w:val="006914F2"/>
    <w:rsid w:val="006A3979"/>
    <w:rsid w:val="006A4A97"/>
    <w:rsid w:val="006B57A0"/>
    <w:rsid w:val="006C121A"/>
    <w:rsid w:val="006E1668"/>
    <w:rsid w:val="006E6BB6"/>
    <w:rsid w:val="006F1BF7"/>
    <w:rsid w:val="006F2036"/>
    <w:rsid w:val="006F2219"/>
    <w:rsid w:val="006F2DB1"/>
    <w:rsid w:val="00700C19"/>
    <w:rsid w:val="00751CB0"/>
    <w:rsid w:val="007571CD"/>
    <w:rsid w:val="007579DE"/>
    <w:rsid w:val="007621C5"/>
    <w:rsid w:val="00763B35"/>
    <w:rsid w:val="00767367"/>
    <w:rsid w:val="007678B8"/>
    <w:rsid w:val="0078273B"/>
    <w:rsid w:val="007841DC"/>
    <w:rsid w:val="00797FE0"/>
    <w:rsid w:val="007A7908"/>
    <w:rsid w:val="007B0AE3"/>
    <w:rsid w:val="007B195F"/>
    <w:rsid w:val="007D3738"/>
    <w:rsid w:val="007E4FF4"/>
    <w:rsid w:val="00806702"/>
    <w:rsid w:val="00811132"/>
    <w:rsid w:val="00812ECC"/>
    <w:rsid w:val="00815719"/>
    <w:rsid w:val="00816ABC"/>
    <w:rsid w:val="00820233"/>
    <w:rsid w:val="00820467"/>
    <w:rsid w:val="0082211F"/>
    <w:rsid w:val="00841D3A"/>
    <w:rsid w:val="00845921"/>
    <w:rsid w:val="00845A89"/>
    <w:rsid w:val="0085172D"/>
    <w:rsid w:val="0085586E"/>
    <w:rsid w:val="008604FE"/>
    <w:rsid w:val="00865F17"/>
    <w:rsid w:val="00894FD3"/>
    <w:rsid w:val="008960A7"/>
    <w:rsid w:val="008A1849"/>
    <w:rsid w:val="008A30AA"/>
    <w:rsid w:val="008B43DE"/>
    <w:rsid w:val="008C4ADA"/>
    <w:rsid w:val="008C6547"/>
    <w:rsid w:val="008D1352"/>
    <w:rsid w:val="008D7CB7"/>
    <w:rsid w:val="008E79E6"/>
    <w:rsid w:val="008F1641"/>
    <w:rsid w:val="00904F17"/>
    <w:rsid w:val="00913DEA"/>
    <w:rsid w:val="00914A78"/>
    <w:rsid w:val="009161B1"/>
    <w:rsid w:val="00934ECC"/>
    <w:rsid w:val="009506B2"/>
    <w:rsid w:val="00951C1E"/>
    <w:rsid w:val="009565CF"/>
    <w:rsid w:val="00965BA2"/>
    <w:rsid w:val="00966641"/>
    <w:rsid w:val="00972E19"/>
    <w:rsid w:val="00982916"/>
    <w:rsid w:val="00987D1D"/>
    <w:rsid w:val="009903C1"/>
    <w:rsid w:val="00994D18"/>
    <w:rsid w:val="009A0F58"/>
    <w:rsid w:val="009A5FF5"/>
    <w:rsid w:val="009C1DB7"/>
    <w:rsid w:val="009C2F3F"/>
    <w:rsid w:val="009D682F"/>
    <w:rsid w:val="009D6C27"/>
    <w:rsid w:val="009E33F8"/>
    <w:rsid w:val="009F1206"/>
    <w:rsid w:val="009F49AB"/>
    <w:rsid w:val="009F63D8"/>
    <w:rsid w:val="00A07AA2"/>
    <w:rsid w:val="00A16FD5"/>
    <w:rsid w:val="00A3317B"/>
    <w:rsid w:val="00A60293"/>
    <w:rsid w:val="00A6432E"/>
    <w:rsid w:val="00A64E37"/>
    <w:rsid w:val="00A66C31"/>
    <w:rsid w:val="00A756D0"/>
    <w:rsid w:val="00A769E7"/>
    <w:rsid w:val="00A777EE"/>
    <w:rsid w:val="00A8241B"/>
    <w:rsid w:val="00A836AB"/>
    <w:rsid w:val="00A855A0"/>
    <w:rsid w:val="00A87472"/>
    <w:rsid w:val="00A94E58"/>
    <w:rsid w:val="00AA2E01"/>
    <w:rsid w:val="00AB4232"/>
    <w:rsid w:val="00AB4937"/>
    <w:rsid w:val="00AC11B2"/>
    <w:rsid w:val="00AD4774"/>
    <w:rsid w:val="00AD5C64"/>
    <w:rsid w:val="00AD6B91"/>
    <w:rsid w:val="00AF1C24"/>
    <w:rsid w:val="00AF42C2"/>
    <w:rsid w:val="00B243A4"/>
    <w:rsid w:val="00B245F5"/>
    <w:rsid w:val="00B2521B"/>
    <w:rsid w:val="00B27BC9"/>
    <w:rsid w:val="00B37986"/>
    <w:rsid w:val="00B41987"/>
    <w:rsid w:val="00B532B5"/>
    <w:rsid w:val="00B74BCA"/>
    <w:rsid w:val="00B76875"/>
    <w:rsid w:val="00B96B9E"/>
    <w:rsid w:val="00BE3DD8"/>
    <w:rsid w:val="00C02B57"/>
    <w:rsid w:val="00C14DD8"/>
    <w:rsid w:val="00C16854"/>
    <w:rsid w:val="00C2429F"/>
    <w:rsid w:val="00C27A29"/>
    <w:rsid w:val="00C30887"/>
    <w:rsid w:val="00C36A3B"/>
    <w:rsid w:val="00C405D5"/>
    <w:rsid w:val="00C60CB1"/>
    <w:rsid w:val="00C643CB"/>
    <w:rsid w:val="00C66068"/>
    <w:rsid w:val="00C6728C"/>
    <w:rsid w:val="00C70C40"/>
    <w:rsid w:val="00C8302B"/>
    <w:rsid w:val="00C91B8C"/>
    <w:rsid w:val="00CA2175"/>
    <w:rsid w:val="00CA2B58"/>
    <w:rsid w:val="00CA4DC0"/>
    <w:rsid w:val="00CB1E80"/>
    <w:rsid w:val="00CC681B"/>
    <w:rsid w:val="00CD733C"/>
    <w:rsid w:val="00CD75C7"/>
    <w:rsid w:val="00CE1FE7"/>
    <w:rsid w:val="00CE4F4D"/>
    <w:rsid w:val="00CE7974"/>
    <w:rsid w:val="00CF33E2"/>
    <w:rsid w:val="00D02AB9"/>
    <w:rsid w:val="00D22CD0"/>
    <w:rsid w:val="00D246FF"/>
    <w:rsid w:val="00D253C1"/>
    <w:rsid w:val="00D31590"/>
    <w:rsid w:val="00D453F1"/>
    <w:rsid w:val="00D52157"/>
    <w:rsid w:val="00D65DB4"/>
    <w:rsid w:val="00D70C4F"/>
    <w:rsid w:val="00D92200"/>
    <w:rsid w:val="00DD5EC7"/>
    <w:rsid w:val="00DE5B06"/>
    <w:rsid w:val="00DF49F9"/>
    <w:rsid w:val="00DF4F94"/>
    <w:rsid w:val="00E05907"/>
    <w:rsid w:val="00E10BBE"/>
    <w:rsid w:val="00E11563"/>
    <w:rsid w:val="00E11716"/>
    <w:rsid w:val="00E20E8E"/>
    <w:rsid w:val="00E24D2E"/>
    <w:rsid w:val="00E37536"/>
    <w:rsid w:val="00E4728F"/>
    <w:rsid w:val="00E53698"/>
    <w:rsid w:val="00E55A01"/>
    <w:rsid w:val="00E65EFA"/>
    <w:rsid w:val="00E74517"/>
    <w:rsid w:val="00E97B0E"/>
    <w:rsid w:val="00EA00A8"/>
    <w:rsid w:val="00EA20A1"/>
    <w:rsid w:val="00EA75F1"/>
    <w:rsid w:val="00EC3B15"/>
    <w:rsid w:val="00ED039E"/>
    <w:rsid w:val="00ED3BD3"/>
    <w:rsid w:val="00ED4DBA"/>
    <w:rsid w:val="00EE05E8"/>
    <w:rsid w:val="00EE3969"/>
    <w:rsid w:val="00EF22EE"/>
    <w:rsid w:val="00EF3503"/>
    <w:rsid w:val="00F10B0C"/>
    <w:rsid w:val="00F17983"/>
    <w:rsid w:val="00F24F9E"/>
    <w:rsid w:val="00F262E8"/>
    <w:rsid w:val="00F53B50"/>
    <w:rsid w:val="00F61465"/>
    <w:rsid w:val="00F6209C"/>
    <w:rsid w:val="00F62920"/>
    <w:rsid w:val="00F8746F"/>
    <w:rsid w:val="00F87D5B"/>
    <w:rsid w:val="00F971B2"/>
    <w:rsid w:val="00F97AA6"/>
    <w:rsid w:val="00FA5771"/>
    <w:rsid w:val="00FB288F"/>
    <w:rsid w:val="00FB6BD0"/>
    <w:rsid w:val="00FC2130"/>
    <w:rsid w:val="00FC65FD"/>
    <w:rsid w:val="00FC7CB9"/>
    <w:rsid w:val="00FE610B"/>
    <w:rsid w:val="00FF16E5"/>
    <w:rsid w:val="00FF4965"/>
    <w:rsid w:val="00FF67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5c7f92"/>
    </o:shapedefaults>
    <o:shapelayout v:ext="edit">
      <o:idmap v:ext="edit" data="1"/>
    </o:shapelayout>
  </w:shapeDefaults>
  <w:doNotEmbedSmartTags/>
  <w:decimalSymbol w:val="."/>
  <w:listSeparator w:val=","/>
  <w14:docId w14:val="33C15841"/>
  <w15:docId w15:val="{45098028-AD94-4DC4-A1B1-B3D109FF5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921"/>
    <w:pPr>
      <w:spacing w:after="120" w:line="270" w:lineRule="exact"/>
      <w:jc w:val="both"/>
    </w:pPr>
    <w:rPr>
      <w:rFonts w:ascii="Gill Sans MT" w:hAnsi="Gill Sans MT"/>
      <w:color w:val="242424"/>
      <w:sz w:val="24"/>
      <w:szCs w:val="24"/>
      <w:lang w:val="en-AU"/>
    </w:rPr>
  </w:style>
  <w:style w:type="paragraph" w:styleId="Heading1">
    <w:name w:val="heading 1"/>
    <w:basedOn w:val="Normal"/>
    <w:next w:val="Normal"/>
    <w:link w:val="Heading1Char"/>
    <w:uiPriority w:val="9"/>
    <w:qFormat/>
    <w:rsid w:val="003F771D"/>
    <w:pPr>
      <w:keepNext/>
      <w:spacing w:before="240" w:after="60"/>
      <w:outlineLvl w:val="0"/>
    </w:pPr>
    <w:rPr>
      <w:b/>
      <w:bCs/>
      <w:kern w:val="32"/>
      <w:sz w:val="32"/>
      <w:szCs w:val="32"/>
    </w:rPr>
  </w:style>
  <w:style w:type="paragraph" w:styleId="Heading2">
    <w:name w:val="heading 2"/>
    <w:basedOn w:val="Normal"/>
    <w:next w:val="Normal"/>
    <w:link w:val="Heading2Char"/>
    <w:uiPriority w:val="9"/>
    <w:semiHidden/>
    <w:unhideWhenUsed/>
    <w:qFormat/>
    <w:rsid w:val="009565C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565CF"/>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9">
    <w:name w:val="heading 9"/>
    <w:basedOn w:val="Normal"/>
    <w:next w:val="Normal"/>
    <w:rsid w:val="003F771D"/>
    <w:pPr>
      <w:keepNext/>
      <w:keepLines/>
      <w:spacing w:before="300" w:after="40" w:line="300" w:lineRule="atLeast"/>
      <w:ind w:left="1701" w:hanging="1701"/>
      <w:outlineLvl w:val="8"/>
    </w:pPr>
    <w:rPr>
      <w:rFonts w:cs="Arial"/>
      <w:color w:val="auto"/>
      <w:sz w:val="3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F771D"/>
    <w:pPr>
      <w:tabs>
        <w:tab w:val="center" w:pos="4320"/>
        <w:tab w:val="right" w:pos="8640"/>
      </w:tabs>
    </w:pPr>
  </w:style>
  <w:style w:type="paragraph" w:customStyle="1" w:styleId="Titleofdocument">
    <w:name w:val="Title of document"/>
    <w:basedOn w:val="Normal"/>
    <w:autoRedefine/>
    <w:qFormat/>
    <w:rsid w:val="001C04B9"/>
    <w:pPr>
      <w:tabs>
        <w:tab w:val="left" w:pos="142"/>
      </w:tabs>
      <w:spacing w:before="880" w:line="780" w:lineRule="exact"/>
      <w:jc w:val="left"/>
    </w:pPr>
    <w:rPr>
      <w:color w:val="FFFFFF"/>
      <w:spacing w:val="12"/>
      <w:sz w:val="84"/>
    </w:rPr>
  </w:style>
  <w:style w:type="paragraph" w:customStyle="1" w:styleId="titlesubheading">
    <w:name w:val="title subheading"/>
    <w:basedOn w:val="Normal"/>
    <w:qFormat/>
    <w:rsid w:val="00093600"/>
    <w:pPr>
      <w:spacing w:line="240" w:lineRule="auto"/>
      <w:ind w:left="-1134"/>
    </w:pPr>
    <w:rPr>
      <w:color w:val="FFFFFF"/>
      <w:spacing w:val="22"/>
      <w:sz w:val="32"/>
    </w:rPr>
  </w:style>
  <w:style w:type="paragraph" w:customStyle="1" w:styleId="Titledate">
    <w:name w:val="Title date"/>
    <w:basedOn w:val="Normal"/>
    <w:next w:val="Normal"/>
    <w:qFormat/>
    <w:rsid w:val="00093600"/>
    <w:pPr>
      <w:spacing w:before="240"/>
      <w:ind w:left="-1134"/>
      <w:jc w:val="left"/>
    </w:pPr>
    <w:rPr>
      <w:color w:val="FFFFFF"/>
    </w:rPr>
  </w:style>
  <w:style w:type="paragraph" w:styleId="Footer">
    <w:name w:val="footer"/>
    <w:basedOn w:val="Normal"/>
    <w:link w:val="FooterChar"/>
    <w:uiPriority w:val="99"/>
    <w:rsid w:val="00FB6BD0"/>
    <w:pPr>
      <w:tabs>
        <w:tab w:val="center" w:pos="4320"/>
        <w:tab w:val="right" w:pos="8640"/>
      </w:tabs>
    </w:pPr>
    <w:rPr>
      <w:color w:val="auto"/>
      <w:sz w:val="18"/>
    </w:rPr>
  </w:style>
  <w:style w:type="character" w:customStyle="1" w:styleId="FooterChar">
    <w:name w:val="Footer Char"/>
    <w:basedOn w:val="DefaultParagraphFont"/>
    <w:link w:val="Footer"/>
    <w:uiPriority w:val="99"/>
    <w:rsid w:val="00FB6BD0"/>
    <w:rPr>
      <w:rFonts w:ascii="Gill Sans MT" w:hAnsi="Gill Sans MT"/>
      <w:sz w:val="18"/>
      <w:szCs w:val="24"/>
      <w:lang w:val="en-AU"/>
    </w:rPr>
  </w:style>
  <w:style w:type="paragraph" w:styleId="DocumentMap">
    <w:name w:val="Document Map"/>
    <w:basedOn w:val="Normal"/>
    <w:semiHidden/>
    <w:rsid w:val="00CF0476"/>
    <w:pPr>
      <w:shd w:val="clear" w:color="auto" w:fill="C6D5EC"/>
    </w:pPr>
    <w:rPr>
      <w:rFonts w:ascii="Lucida Grande" w:hAnsi="Lucida Grande"/>
    </w:rPr>
  </w:style>
  <w:style w:type="table" w:styleId="TableGrid">
    <w:name w:val="Table Grid"/>
    <w:basedOn w:val="TableNormal"/>
    <w:uiPriority w:val="39"/>
    <w:rsid w:val="00ED3BD3"/>
    <w:pPr>
      <w:spacing w:line="270" w:lineRule="exact"/>
      <w:jc w:val="both"/>
    </w:pPr>
    <w:tblPr/>
    <w:tcPr>
      <w:shd w:val="clear" w:color="auto" w:fill="auto"/>
    </w:tcPr>
    <w:tblStylePr w:type="firstRow">
      <w:rPr>
        <w:rFonts w:ascii="Courier New" w:hAnsi="Courier New"/>
        <w:b/>
        <w:sz w:val="22"/>
      </w:rPr>
      <w:tblPr/>
      <w:tcPr>
        <w:shd w:val="clear" w:color="auto" w:fill="B5C662"/>
      </w:tcPr>
    </w:tblStylePr>
    <w:tblStylePr w:type="lastRow">
      <w:rPr>
        <w:rFonts w:ascii="Courier New" w:hAnsi="Courier New"/>
      </w:rPr>
      <w:tblPr/>
      <w:tcPr>
        <w:tcBorders>
          <w:bottom w:val="nil"/>
        </w:tcBorders>
      </w:tcPr>
    </w:tblStylePr>
    <w:tblStylePr w:type="firstCol">
      <w:pPr>
        <w:jc w:val="left"/>
      </w:pPr>
      <w:rPr>
        <w:rFonts w:ascii="Courier New" w:hAnsi="Courier New"/>
        <w:color w:val="242424"/>
      </w:rPr>
      <w:tblPr/>
      <w:tcPr>
        <w:tcBorders>
          <w:bottom w:val="nil"/>
        </w:tcBorders>
      </w:tcPr>
    </w:tblStylePr>
    <w:tblStylePr w:type="lastCol">
      <w:pPr>
        <w:jc w:val="right"/>
      </w:pPr>
      <w:rPr>
        <w:rFonts w:ascii="Courier New" w:hAnsi="Courier New"/>
      </w:rPr>
      <w:tblPr/>
      <w:tcPr>
        <w:tcBorders>
          <w:bottom w:val="nil"/>
        </w:tcBorders>
      </w:tcPr>
    </w:tblStylePr>
  </w:style>
  <w:style w:type="paragraph" w:customStyle="1" w:styleId="pulloutquote">
    <w:name w:val="pull out quote"/>
    <w:basedOn w:val="Normal"/>
    <w:rsid w:val="00AA2E01"/>
    <w:pPr>
      <w:spacing w:after="80" w:line="280" w:lineRule="exact"/>
      <w:jc w:val="left"/>
    </w:pPr>
    <w:rPr>
      <w:i/>
      <w:caps/>
      <w:color w:val="879637"/>
    </w:rPr>
  </w:style>
  <w:style w:type="paragraph" w:customStyle="1" w:styleId="bullets">
    <w:name w:val="bullets"/>
    <w:basedOn w:val="Normal"/>
    <w:rsid w:val="00621064"/>
    <w:pPr>
      <w:numPr>
        <w:numId w:val="1"/>
      </w:numPr>
      <w:spacing w:after="80"/>
    </w:pPr>
    <w:rPr>
      <w:color w:val="000000"/>
    </w:rPr>
  </w:style>
  <w:style w:type="paragraph" w:customStyle="1" w:styleId="BudgetTable">
    <w:name w:val="BudgetTable"/>
    <w:basedOn w:val="Normal"/>
    <w:rsid w:val="00845921"/>
    <w:pPr>
      <w:tabs>
        <w:tab w:val="left" w:pos="0"/>
      </w:tabs>
      <w:spacing w:line="300" w:lineRule="exact"/>
      <w:jc w:val="left"/>
    </w:pPr>
    <w:rPr>
      <w:color w:val="auto"/>
      <w:sz w:val="18"/>
      <w:szCs w:val="20"/>
      <w:lang w:val="en-US"/>
    </w:rPr>
  </w:style>
  <w:style w:type="paragraph" w:customStyle="1" w:styleId="HeadingLevel1">
    <w:name w:val="Heading Level 1"/>
    <w:basedOn w:val="Normal"/>
    <w:qFormat/>
    <w:rsid w:val="000B31AB"/>
    <w:pPr>
      <w:spacing w:before="360" w:line="240" w:lineRule="auto"/>
      <w:outlineLvl w:val="0"/>
    </w:pPr>
    <w:rPr>
      <w:color w:val="889838"/>
      <w:sz w:val="40"/>
    </w:rPr>
  </w:style>
  <w:style w:type="paragraph" w:customStyle="1" w:styleId="Headinglevel2">
    <w:name w:val="Heading level 2"/>
    <w:basedOn w:val="Normal"/>
    <w:rsid w:val="003F771D"/>
    <w:pPr>
      <w:spacing w:before="360"/>
      <w:outlineLvl w:val="0"/>
    </w:pPr>
    <w:rPr>
      <w:color w:val="889838"/>
      <w:sz w:val="28"/>
    </w:rPr>
  </w:style>
  <w:style w:type="paragraph" w:customStyle="1" w:styleId="headinglevel3">
    <w:name w:val="heading level 3"/>
    <w:basedOn w:val="Headinglevel4"/>
    <w:rsid w:val="008B43DE"/>
    <w:rPr>
      <w:b/>
    </w:rPr>
  </w:style>
  <w:style w:type="paragraph" w:customStyle="1" w:styleId="Headinglevel4">
    <w:name w:val="Heading level 4"/>
    <w:basedOn w:val="Normal"/>
    <w:rsid w:val="008B43DE"/>
    <w:pPr>
      <w:spacing w:before="360"/>
      <w:outlineLvl w:val="0"/>
    </w:pPr>
    <w:rPr>
      <w:color w:val="879637"/>
    </w:rPr>
  </w:style>
  <w:style w:type="paragraph" w:styleId="BalloonText">
    <w:name w:val="Balloon Text"/>
    <w:basedOn w:val="Normal"/>
    <w:link w:val="BalloonTextChar"/>
    <w:uiPriority w:val="99"/>
    <w:semiHidden/>
    <w:unhideWhenUsed/>
    <w:rsid w:val="00C91B8C"/>
    <w:pPr>
      <w:spacing w:line="240" w:lineRule="auto"/>
    </w:pPr>
    <w:rPr>
      <w:rFonts w:ascii="Tahoma" w:hAnsi="Tahoma" w:cs="Tahoma"/>
      <w:sz w:val="16"/>
      <w:szCs w:val="16"/>
    </w:rPr>
  </w:style>
  <w:style w:type="paragraph" w:customStyle="1" w:styleId="Tablerowtotal">
    <w:name w:val="Table row total"/>
    <w:basedOn w:val="tablerowheading"/>
    <w:qFormat/>
    <w:rsid w:val="00AB4937"/>
    <w:rPr>
      <w:sz w:val="20"/>
    </w:rPr>
  </w:style>
  <w:style w:type="paragraph" w:customStyle="1" w:styleId="numberedbullet">
    <w:name w:val="numbered bullet"/>
    <w:basedOn w:val="Normal"/>
    <w:next w:val="Normal"/>
    <w:autoRedefine/>
    <w:rsid w:val="00554604"/>
    <w:pPr>
      <w:numPr>
        <w:numId w:val="2"/>
      </w:numPr>
      <w:spacing w:before="120"/>
    </w:pPr>
    <w:rPr>
      <w:color w:val="000000"/>
    </w:rPr>
  </w:style>
  <w:style w:type="paragraph" w:customStyle="1" w:styleId="tableheading">
    <w:name w:val="table heading"/>
    <w:basedOn w:val="Normal"/>
    <w:rsid w:val="002862EB"/>
    <w:rPr>
      <w:b/>
      <w:color w:val="879637"/>
    </w:rPr>
  </w:style>
  <w:style w:type="paragraph" w:customStyle="1" w:styleId="tablerowheading">
    <w:name w:val="table row heading"/>
    <w:basedOn w:val="table"/>
    <w:autoRedefine/>
    <w:rsid w:val="00AB4937"/>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9D156B"/>
    <w:rPr>
      <w:color w:val="auto"/>
      <w:sz w:val="16"/>
    </w:rPr>
  </w:style>
  <w:style w:type="character" w:customStyle="1" w:styleId="BalloonTextChar">
    <w:name w:val="Balloon Text Char"/>
    <w:basedOn w:val="DefaultParagraphFont"/>
    <w:link w:val="BalloonText"/>
    <w:uiPriority w:val="99"/>
    <w:semiHidden/>
    <w:rsid w:val="00C91B8C"/>
    <w:rPr>
      <w:rFonts w:ascii="Tahoma" w:hAnsi="Tahoma" w:cs="Tahoma"/>
      <w:color w:val="242424"/>
      <w:sz w:val="16"/>
      <w:szCs w:val="16"/>
      <w:lang w:val="en-AU"/>
    </w:rPr>
  </w:style>
  <w:style w:type="paragraph" w:styleId="NoSpacing">
    <w:name w:val="No Spacing"/>
    <w:uiPriority w:val="1"/>
    <w:qFormat/>
    <w:rsid w:val="00C91B8C"/>
    <w:pPr>
      <w:spacing w:line="360" w:lineRule="auto"/>
      <w:jc w:val="both"/>
    </w:pPr>
    <w:rPr>
      <w:rFonts w:ascii="Arial" w:hAnsi="Arial"/>
      <w:color w:val="242424"/>
      <w:sz w:val="21"/>
      <w:szCs w:val="24"/>
      <w:lang w:val="en-AU"/>
    </w:rPr>
  </w:style>
  <w:style w:type="numbering" w:customStyle="1" w:styleId="TreasuryBullets">
    <w:name w:val="Treasury Bullets"/>
    <w:rsid w:val="00CE7974"/>
    <w:pPr>
      <w:numPr>
        <w:numId w:val="3"/>
      </w:numPr>
    </w:pPr>
  </w:style>
  <w:style w:type="numbering" w:customStyle="1" w:styleId="TreasuryNumberedBullets0">
    <w:name w:val="Treasury Numbered Bullets"/>
    <w:rsid w:val="00146CE9"/>
  </w:style>
  <w:style w:type="numbering" w:customStyle="1" w:styleId="StyleTreasuryBulletsOutlinenumbered12ptNotBold">
    <w:name w:val="Style Treasury Bullets + Outline numbered 12 pt Not Bold"/>
    <w:basedOn w:val="NoList"/>
    <w:rsid w:val="004A3B15"/>
    <w:pPr>
      <w:numPr>
        <w:numId w:val="4"/>
      </w:numPr>
    </w:pPr>
  </w:style>
  <w:style w:type="numbering" w:customStyle="1" w:styleId="StyleTreasuryBulletsOutlinenumbered12ptNotBold1">
    <w:name w:val="Style Treasury Bullets + Outline numbered 12 pt Not Bold1"/>
    <w:basedOn w:val="NoList"/>
    <w:rsid w:val="004A3B15"/>
    <w:pPr>
      <w:numPr>
        <w:numId w:val="5"/>
      </w:numPr>
    </w:pPr>
  </w:style>
  <w:style w:type="numbering" w:customStyle="1" w:styleId="StyleStyleTreasuryBullets">
    <w:name w:val="Style Style Treasury Bullets"/>
    <w:basedOn w:val="NoList"/>
    <w:rsid w:val="0082211F"/>
    <w:pPr>
      <w:numPr>
        <w:numId w:val="6"/>
      </w:numPr>
    </w:pPr>
  </w:style>
  <w:style w:type="numbering" w:customStyle="1" w:styleId="StyleStyleTreasuryBulletsOutlinenumbered12ptNotBold1O1">
    <w:name w:val="Style Style Treasury Bullets + Outline numbered 12 pt Not Bold1 + O...1"/>
    <w:basedOn w:val="NoList"/>
    <w:rsid w:val="004A3B15"/>
    <w:pPr>
      <w:numPr>
        <w:numId w:val="7"/>
      </w:numPr>
    </w:pPr>
  </w:style>
  <w:style w:type="numbering" w:customStyle="1" w:styleId="StyleStyleTreasuryBulletsOutlinenumbered12ptNotBold1O2">
    <w:name w:val="Style Style Treasury Bullets + Outline numbered 12 pt Not Bold1 + O...2"/>
    <w:basedOn w:val="NoList"/>
    <w:rsid w:val="004A3B15"/>
    <w:pPr>
      <w:numPr>
        <w:numId w:val="8"/>
      </w:numPr>
    </w:pPr>
  </w:style>
  <w:style w:type="numbering" w:customStyle="1" w:styleId="StyleStyleTreasuryBulletsOutlinenumbered12ptNotBold1O3">
    <w:name w:val="Style Style Treasury Bullets + Outline numbered 12 pt Not Bold1 + O...3"/>
    <w:basedOn w:val="NoList"/>
    <w:rsid w:val="004A3B15"/>
    <w:pPr>
      <w:numPr>
        <w:numId w:val="9"/>
      </w:numPr>
    </w:pPr>
  </w:style>
  <w:style w:type="paragraph" w:customStyle="1" w:styleId="TableRow">
    <w:name w:val="Table Row"/>
    <w:basedOn w:val="Normal"/>
    <w:autoRedefine/>
    <w:qFormat/>
    <w:rsid w:val="00FB6BD0"/>
    <w:pPr>
      <w:spacing w:after="0" w:line="240" w:lineRule="auto"/>
      <w:jc w:val="left"/>
    </w:pPr>
  </w:style>
  <w:style w:type="paragraph" w:customStyle="1" w:styleId="TableRowHighlight">
    <w:name w:val="Table Row Highlight"/>
    <w:basedOn w:val="TableRow"/>
    <w:qFormat/>
    <w:rsid w:val="00763B35"/>
    <w:rPr>
      <w:caps/>
    </w:rPr>
  </w:style>
  <w:style w:type="paragraph" w:customStyle="1" w:styleId="TableRowHeaderValues">
    <w:name w:val="Table Row Header Values"/>
    <w:basedOn w:val="TableRow"/>
    <w:autoRedefine/>
    <w:qFormat/>
    <w:rsid w:val="00904F17"/>
    <w:pPr>
      <w:pBdr>
        <w:top w:val="single" w:sz="18" w:space="6" w:color="B5C662"/>
      </w:pBdr>
    </w:pPr>
  </w:style>
  <w:style w:type="paragraph" w:customStyle="1" w:styleId="table">
    <w:name w:val="table"/>
    <w:basedOn w:val="Normal"/>
    <w:autoRedefine/>
    <w:qFormat/>
    <w:rsid w:val="00F6209C"/>
    <w:rPr>
      <w:sz w:val="22"/>
    </w:rPr>
  </w:style>
  <w:style w:type="paragraph" w:customStyle="1" w:styleId="Treasurytable">
    <w:name w:val="Treasury table"/>
    <w:basedOn w:val="table"/>
    <w:rsid w:val="00F6209C"/>
    <w:rPr>
      <w:b/>
    </w:rPr>
  </w:style>
  <w:style w:type="table" w:customStyle="1" w:styleId="TreasuryTable0">
    <w:name w:val="Treasury Table"/>
    <w:basedOn w:val="TableNormal"/>
    <w:rsid w:val="00321872"/>
    <w:tblPr>
      <w:tblCellMar>
        <w:left w:w="0" w:type="dxa"/>
        <w:right w:w="0" w:type="dxa"/>
      </w:tblCellMar>
    </w:tblPr>
    <w:tblStylePr w:type="firstRow">
      <w:rPr>
        <w:rFonts w:ascii="Arial" w:hAnsi="Arial"/>
        <w:b w:val="0"/>
        <w:sz w:val="20"/>
      </w:rPr>
      <w:tblPr>
        <w:tblCellMar>
          <w:top w:w="2268" w:type="dxa"/>
          <w:left w:w="108" w:type="dxa"/>
          <w:bottom w:w="2268" w:type="dxa"/>
          <w:right w:w="108" w:type="dxa"/>
        </w:tblCellMar>
      </w:tblPr>
      <w:tcPr>
        <w:tcBorders>
          <w:top w:val="nil"/>
          <w:left w:val="nil"/>
          <w:bottom w:val="nil"/>
          <w:right w:val="nil"/>
          <w:insideH w:val="nil"/>
          <w:insideV w:val="nil"/>
          <w:tl2br w:val="nil"/>
          <w:tr2bl w:val="nil"/>
        </w:tcBorders>
        <w:shd w:val="clear" w:color="auto" w:fill="B5C662"/>
      </w:tcPr>
    </w:tblStylePr>
    <w:tblStylePr w:type="firstCol">
      <w:pPr>
        <w:jc w:val="left"/>
      </w:pPr>
    </w:tblStylePr>
    <w:tblStylePr w:type="lastCol">
      <w:pPr>
        <w:jc w:val="right"/>
      </w:pPr>
      <w:rPr>
        <w:rFonts w:ascii="Courier New" w:hAnsi="Courier New"/>
      </w:rPr>
      <w:tblPr/>
      <w:tcPr>
        <w:tcBorders>
          <w:bottom w:val="nil"/>
        </w:tcBorders>
      </w:tcPr>
    </w:tblStylePr>
  </w:style>
  <w:style w:type="table" w:customStyle="1" w:styleId="LightShading1">
    <w:name w:val="Light Shading1"/>
    <w:basedOn w:val="TableNormal"/>
    <w:uiPriority w:val="60"/>
    <w:rsid w:val="00EA75F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rFonts w:ascii="Courier New" w:hAnsi="Courier New"/>
        <w:b/>
        <w:bCs/>
      </w:rPr>
      <w:tblPr/>
      <w:tcPr>
        <w:tcBorders>
          <w:top w:val="single" w:sz="8" w:space="0" w:color="000000"/>
          <w:left w:val="nil"/>
          <w:bottom w:val="single" w:sz="8" w:space="0" w:color="000000"/>
          <w:right w:val="nil"/>
          <w:insideH w:val="nil"/>
          <w:insideV w:val="nil"/>
        </w:tcBorders>
        <w:shd w:val="clear" w:color="auto" w:fill="B5C662"/>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pPr>
        <w:jc w:val="left"/>
      </w:pPr>
      <w:rPr>
        <w:b/>
        <w:bCs/>
      </w:rPr>
    </w:tblStylePr>
    <w:tblStylePr w:type="lastCol">
      <w:pPr>
        <w:jc w:val="right"/>
      </w:pPr>
      <w:rPr>
        <w:rFonts w:ascii="Courier New" w:hAnsi="Courier New"/>
        <w:b/>
        <w:bCs/>
      </w:rPr>
      <w:tblPr/>
      <w:tcPr>
        <w:tcBorders>
          <w:bottom w:val="nil"/>
        </w:tcBorders>
      </w:tc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RowFooter">
    <w:name w:val="Table Row Footer"/>
    <w:basedOn w:val="TableRow"/>
    <w:qFormat/>
    <w:rsid w:val="00AB4937"/>
    <w:pPr>
      <w:pBdr>
        <w:top w:val="single" w:sz="18" w:space="1" w:color="B5C662"/>
      </w:pBdr>
    </w:pPr>
  </w:style>
  <w:style w:type="paragraph" w:customStyle="1" w:styleId="Introtext">
    <w:name w:val="Intro text"/>
    <w:basedOn w:val="Normal"/>
    <w:qFormat/>
    <w:rsid w:val="00D92200"/>
    <w:pPr>
      <w:spacing w:after="600"/>
    </w:pPr>
    <w:rPr>
      <w:i/>
      <w:color w:val="889838"/>
    </w:rPr>
  </w:style>
  <w:style w:type="character" w:customStyle="1" w:styleId="Heading1Char">
    <w:name w:val="Heading 1 Char"/>
    <w:basedOn w:val="DefaultParagraphFont"/>
    <w:link w:val="Heading1"/>
    <w:uiPriority w:val="9"/>
    <w:rsid w:val="003F771D"/>
    <w:rPr>
      <w:rFonts w:ascii="Gill Sans MT" w:hAnsi="Gill Sans MT"/>
      <w:b/>
      <w:bCs/>
      <w:color w:val="242424"/>
      <w:kern w:val="32"/>
      <w:sz w:val="32"/>
      <w:szCs w:val="32"/>
      <w:lang w:val="en-AU"/>
    </w:rPr>
  </w:style>
  <w:style w:type="paragraph" w:styleId="TOCHeading">
    <w:name w:val="TOC Heading"/>
    <w:basedOn w:val="Heading1"/>
    <w:next w:val="Normal"/>
    <w:uiPriority w:val="39"/>
    <w:unhideWhenUsed/>
    <w:qFormat/>
    <w:rsid w:val="00F8746F"/>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uiPriority w:val="39"/>
    <w:unhideWhenUsed/>
    <w:rsid w:val="00CA4DC0"/>
    <w:pPr>
      <w:tabs>
        <w:tab w:val="right" w:leader="dot" w:pos="7928"/>
      </w:tabs>
      <w:spacing w:before="240" w:after="240"/>
      <w:jc w:val="left"/>
    </w:pPr>
    <w:rPr>
      <w:b/>
    </w:rPr>
  </w:style>
  <w:style w:type="character" w:styleId="Hyperlink">
    <w:name w:val="Hyperlink"/>
    <w:basedOn w:val="DefaultParagraphFont"/>
    <w:uiPriority w:val="99"/>
    <w:unhideWhenUsed/>
    <w:rsid w:val="003F771D"/>
    <w:rPr>
      <w:rFonts w:ascii="Gill Sans MT" w:hAnsi="Gill Sans MT"/>
      <w:color w:val="0000FF"/>
      <w:sz w:val="24"/>
      <w:u w:val="single"/>
    </w:rPr>
  </w:style>
  <w:style w:type="numbering" w:customStyle="1" w:styleId="TreasuryBullets2">
    <w:name w:val="Treasury Bullets 2"/>
    <w:rsid w:val="00904F17"/>
    <w:pPr>
      <w:numPr>
        <w:numId w:val="10"/>
      </w:numPr>
    </w:pPr>
  </w:style>
  <w:style w:type="numbering" w:customStyle="1" w:styleId="TreasuryBullets-Alternate">
    <w:name w:val="Treasury Bullets - Alternate"/>
    <w:basedOn w:val="NoList"/>
    <w:rsid w:val="00371E12"/>
    <w:pPr>
      <w:numPr>
        <w:numId w:val="11"/>
      </w:numPr>
    </w:pPr>
  </w:style>
  <w:style w:type="numbering" w:customStyle="1" w:styleId="StyleTreasuryBullets11">
    <w:name w:val="Style Treasury Bullets 1.1"/>
    <w:basedOn w:val="NoList"/>
    <w:rsid w:val="002F3821"/>
    <w:pPr>
      <w:numPr>
        <w:numId w:val="12"/>
      </w:numPr>
    </w:pPr>
  </w:style>
  <w:style w:type="numbering" w:customStyle="1" w:styleId="StyleTreasuryBullets111">
    <w:name w:val="Style Treasury Bullets 1.1.1"/>
    <w:basedOn w:val="NoList"/>
    <w:rsid w:val="002F3821"/>
    <w:pPr>
      <w:numPr>
        <w:numId w:val="13"/>
      </w:numPr>
    </w:pPr>
  </w:style>
  <w:style w:type="paragraph" w:customStyle="1" w:styleId="TreasuryNoBullets">
    <w:name w:val="Treasury No. Bullets"/>
    <w:qFormat/>
    <w:rsid w:val="009F63D8"/>
    <w:pPr>
      <w:numPr>
        <w:numId w:val="15"/>
      </w:numPr>
      <w:spacing w:before="120" w:after="120"/>
      <w:ind w:left="0" w:firstLine="0"/>
    </w:pPr>
    <w:rPr>
      <w:rFonts w:ascii="Arial" w:hAnsi="Arial"/>
      <w:color w:val="242424"/>
      <w:szCs w:val="24"/>
      <w:lang w:val="en-AU"/>
    </w:rPr>
  </w:style>
  <w:style w:type="paragraph" w:customStyle="1" w:styleId="TreasuryNoBullets-alternate">
    <w:name w:val="Treasury No. Bullets - alternate"/>
    <w:autoRedefine/>
    <w:qFormat/>
    <w:rsid w:val="00477AEF"/>
    <w:pPr>
      <w:spacing w:before="200" w:after="200"/>
    </w:pPr>
    <w:rPr>
      <w:rFonts w:ascii="Arial" w:hAnsi="Arial"/>
      <w:color w:val="242424"/>
      <w:szCs w:val="24"/>
      <w:lang w:val="en-AU"/>
    </w:rPr>
  </w:style>
  <w:style w:type="numbering" w:customStyle="1" w:styleId="TreasuryNumberLettersBullets0">
    <w:name w:val="Treasury Number Letters Bullets"/>
    <w:rsid w:val="00477AEF"/>
  </w:style>
  <w:style w:type="numbering" w:customStyle="1" w:styleId="StyleOutlinenumbered12ptBoldLeft127cmHanging063">
    <w:name w:val="Style Outline numbered 12 pt Bold Left:  1.27 cm Hanging:  0.63..."/>
    <w:basedOn w:val="NoList"/>
    <w:rsid w:val="00426B6F"/>
    <w:pPr>
      <w:numPr>
        <w:numId w:val="18"/>
      </w:numPr>
    </w:pPr>
  </w:style>
  <w:style w:type="numbering" w:customStyle="1" w:styleId="StyleOutlinenumbered12ptBoldLeft127cmHanging0631">
    <w:name w:val="Style Outline numbered 12 pt Bold Left:  1.27 cm Hanging:  0.63...1"/>
    <w:basedOn w:val="NoList"/>
    <w:rsid w:val="00426B6F"/>
    <w:pPr>
      <w:numPr>
        <w:numId w:val="19"/>
      </w:numPr>
    </w:pPr>
  </w:style>
  <w:style w:type="numbering" w:customStyle="1" w:styleId="StyleOutlinenumbered12ptBoldLeft127cmHanging0632">
    <w:name w:val="Style Outline numbered 12 pt Bold Left:  1.27 cm Hanging:  0.63...2"/>
    <w:basedOn w:val="NoList"/>
    <w:rsid w:val="00426B6F"/>
    <w:pPr>
      <w:numPr>
        <w:numId w:val="20"/>
      </w:numPr>
    </w:pPr>
  </w:style>
  <w:style w:type="paragraph" w:customStyle="1" w:styleId="StyleOutlinenumbered12ptBoldLeft127cmHanging0633">
    <w:name w:val="Style Outline numbered 12 pt Bold Left:  1.27 cm Hanging:  0.63...3"/>
    <w:basedOn w:val="TreasuryNoBullets-alternate"/>
    <w:rsid w:val="00426B6F"/>
    <w:pPr>
      <w:numPr>
        <w:ilvl w:val="2"/>
        <w:numId w:val="21"/>
      </w:numPr>
    </w:pPr>
    <w:rPr>
      <w:b/>
    </w:rPr>
  </w:style>
  <w:style w:type="numbering" w:customStyle="1" w:styleId="StyleOutlinenumbered12ptBoldLeft0cmHanging063cm">
    <w:name w:val="Style Outline numbered 12 pt Bold Left:  0 cm Hanging:  0.63 cm"/>
    <w:basedOn w:val="NoList"/>
    <w:rsid w:val="00426B6F"/>
    <w:pPr>
      <w:numPr>
        <w:numId w:val="22"/>
      </w:numPr>
    </w:pPr>
  </w:style>
  <w:style w:type="paragraph" w:customStyle="1" w:styleId="HeadingLevel1-Bulleted">
    <w:name w:val="Heading Level 1 - Bulleted"/>
    <w:basedOn w:val="HeadingLevel1"/>
    <w:qFormat/>
    <w:rsid w:val="00E20E8E"/>
    <w:pPr>
      <w:numPr>
        <w:numId w:val="17"/>
      </w:numPr>
      <w:ind w:left="0" w:firstLine="0"/>
    </w:pPr>
  </w:style>
  <w:style w:type="numbering" w:customStyle="1" w:styleId="TreasuryNumberLettersBullets">
    <w:name w:val="Treasury Number Letters Bullets"/>
    <w:next w:val="TreasuryNumberLettersBullets0"/>
    <w:rsid w:val="00C27A29"/>
    <w:pPr>
      <w:numPr>
        <w:numId w:val="16"/>
      </w:numPr>
    </w:pPr>
  </w:style>
  <w:style w:type="numbering" w:customStyle="1" w:styleId="TreasuryNumberedBullets">
    <w:name w:val="Treasury Numbered Bullets"/>
    <w:next w:val="TreasuryNumberedBullets0"/>
    <w:rsid w:val="00146CE9"/>
    <w:pPr>
      <w:numPr>
        <w:numId w:val="14"/>
      </w:numPr>
    </w:pPr>
  </w:style>
  <w:style w:type="paragraph" w:customStyle="1" w:styleId="ChapterHeadingLevel1">
    <w:name w:val="Chapter Heading Level 1"/>
    <w:qFormat/>
    <w:rsid w:val="00816ABC"/>
    <w:pPr>
      <w:spacing w:before="480" w:after="240"/>
    </w:pPr>
    <w:rPr>
      <w:rFonts w:ascii="Gill Sans MT" w:hAnsi="Gill Sans MT"/>
      <w:color w:val="78952C"/>
      <w:spacing w:val="10"/>
      <w:position w:val="-10"/>
      <w:sz w:val="56"/>
      <w:szCs w:val="24"/>
      <w:lang w:val="en-AU"/>
    </w:rPr>
  </w:style>
  <w:style w:type="paragraph" w:styleId="ListParagraph">
    <w:name w:val="List Paragraph"/>
    <w:basedOn w:val="Normal"/>
    <w:uiPriority w:val="34"/>
    <w:qFormat/>
    <w:rsid w:val="00841D3A"/>
    <w:pPr>
      <w:ind w:left="720"/>
      <w:contextualSpacing/>
    </w:pPr>
  </w:style>
  <w:style w:type="paragraph" w:customStyle="1" w:styleId="Default">
    <w:name w:val="Default"/>
    <w:rsid w:val="00F24F9E"/>
    <w:pPr>
      <w:autoSpaceDE w:val="0"/>
      <w:autoSpaceDN w:val="0"/>
      <w:adjustRightInd w:val="0"/>
    </w:pPr>
    <w:rPr>
      <w:rFonts w:ascii="Arial" w:hAnsi="Arial" w:cs="Arial"/>
      <w:color w:val="000000"/>
      <w:sz w:val="24"/>
      <w:szCs w:val="24"/>
      <w:lang w:val="en-AU"/>
    </w:rPr>
  </w:style>
  <w:style w:type="paragraph" w:styleId="NormalWeb">
    <w:name w:val="Normal (Web)"/>
    <w:basedOn w:val="Normal"/>
    <w:uiPriority w:val="99"/>
    <w:unhideWhenUsed/>
    <w:rsid w:val="00C405D5"/>
    <w:pPr>
      <w:spacing w:before="100" w:beforeAutospacing="1" w:after="100" w:afterAutospacing="1" w:line="240" w:lineRule="auto"/>
      <w:jc w:val="left"/>
    </w:pPr>
    <w:rPr>
      <w:rFonts w:ascii="Times New Roman" w:hAnsi="Times New Roman"/>
      <w:color w:val="auto"/>
      <w:lang w:eastAsia="en-AU"/>
    </w:rPr>
  </w:style>
  <w:style w:type="paragraph" w:styleId="FootnoteText">
    <w:name w:val="footnote text"/>
    <w:basedOn w:val="Normal"/>
    <w:link w:val="FootnoteTextChar"/>
    <w:uiPriority w:val="99"/>
    <w:semiHidden/>
    <w:unhideWhenUsed/>
    <w:rsid w:val="00237D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7DFD"/>
    <w:rPr>
      <w:rFonts w:ascii="Gill Sans MT" w:hAnsi="Gill Sans MT"/>
      <w:color w:val="242424"/>
      <w:lang w:val="en-AU"/>
    </w:rPr>
  </w:style>
  <w:style w:type="character" w:styleId="FootnoteReference">
    <w:name w:val="footnote reference"/>
    <w:basedOn w:val="DefaultParagraphFont"/>
    <w:uiPriority w:val="99"/>
    <w:semiHidden/>
    <w:unhideWhenUsed/>
    <w:rsid w:val="00237DFD"/>
    <w:rPr>
      <w:vertAlign w:val="superscript"/>
    </w:rPr>
  </w:style>
  <w:style w:type="character" w:styleId="CommentReference">
    <w:name w:val="annotation reference"/>
    <w:basedOn w:val="DefaultParagraphFont"/>
    <w:uiPriority w:val="99"/>
    <w:semiHidden/>
    <w:unhideWhenUsed/>
    <w:rsid w:val="009F1206"/>
    <w:rPr>
      <w:sz w:val="16"/>
      <w:szCs w:val="16"/>
    </w:rPr>
  </w:style>
  <w:style w:type="paragraph" w:styleId="CommentText">
    <w:name w:val="annotation text"/>
    <w:basedOn w:val="Normal"/>
    <w:link w:val="CommentTextChar"/>
    <w:uiPriority w:val="99"/>
    <w:semiHidden/>
    <w:unhideWhenUsed/>
    <w:rsid w:val="009F1206"/>
    <w:pPr>
      <w:spacing w:line="240" w:lineRule="auto"/>
    </w:pPr>
    <w:rPr>
      <w:sz w:val="20"/>
      <w:szCs w:val="20"/>
    </w:rPr>
  </w:style>
  <w:style w:type="character" w:customStyle="1" w:styleId="CommentTextChar">
    <w:name w:val="Comment Text Char"/>
    <w:basedOn w:val="DefaultParagraphFont"/>
    <w:link w:val="CommentText"/>
    <w:uiPriority w:val="99"/>
    <w:semiHidden/>
    <w:rsid w:val="009F1206"/>
    <w:rPr>
      <w:rFonts w:ascii="Gill Sans MT" w:hAnsi="Gill Sans MT"/>
      <w:color w:val="242424"/>
      <w:lang w:val="en-AU"/>
    </w:rPr>
  </w:style>
  <w:style w:type="paragraph" w:styleId="CommentSubject">
    <w:name w:val="annotation subject"/>
    <w:basedOn w:val="CommentText"/>
    <w:next w:val="CommentText"/>
    <w:link w:val="CommentSubjectChar"/>
    <w:uiPriority w:val="99"/>
    <w:semiHidden/>
    <w:unhideWhenUsed/>
    <w:rsid w:val="009F1206"/>
    <w:rPr>
      <w:b/>
      <w:bCs/>
    </w:rPr>
  </w:style>
  <w:style w:type="character" w:customStyle="1" w:styleId="CommentSubjectChar">
    <w:name w:val="Comment Subject Char"/>
    <w:basedOn w:val="CommentTextChar"/>
    <w:link w:val="CommentSubject"/>
    <w:uiPriority w:val="99"/>
    <w:semiHidden/>
    <w:rsid w:val="009F1206"/>
    <w:rPr>
      <w:rFonts w:ascii="Gill Sans MT" w:hAnsi="Gill Sans MT"/>
      <w:b/>
      <w:bCs/>
      <w:color w:val="242424"/>
      <w:lang w:val="en-AU"/>
    </w:rPr>
  </w:style>
  <w:style w:type="paragraph" w:customStyle="1" w:styleId="BackPage">
    <w:name w:val="Back Page"/>
    <w:basedOn w:val="Normal"/>
    <w:qFormat/>
    <w:rsid w:val="00FF4965"/>
    <w:pPr>
      <w:suppressAutoHyphens/>
      <w:spacing w:before="120" w:after="113" w:line="310" w:lineRule="exact"/>
      <w:jc w:val="left"/>
    </w:pPr>
    <w:rPr>
      <w:rFonts w:asciiTheme="minorHAnsi" w:eastAsiaTheme="minorHAnsi" w:hAnsiTheme="minorHAnsi" w:cstheme="minorBidi"/>
      <w:color w:val="000000" w:themeColor="text1"/>
      <w:sz w:val="22"/>
      <w:szCs w:val="22"/>
    </w:rPr>
  </w:style>
  <w:style w:type="paragraph" w:customStyle="1" w:styleId="BulletNumbered">
    <w:name w:val="Bullet Numbered"/>
    <w:basedOn w:val="ListBullet"/>
    <w:qFormat/>
    <w:rsid w:val="00071EF6"/>
    <w:pPr>
      <w:tabs>
        <w:tab w:val="num" w:pos="720"/>
      </w:tabs>
      <w:suppressAutoHyphens/>
      <w:spacing w:before="120" w:line="280" w:lineRule="exact"/>
      <w:ind w:left="720" w:hanging="720"/>
      <w:contextualSpacing w:val="0"/>
      <w:jc w:val="left"/>
    </w:pPr>
    <w:rPr>
      <w:rFonts w:asciiTheme="minorHAnsi" w:eastAsiaTheme="minorHAnsi" w:hAnsiTheme="minorHAnsi" w:cstheme="minorBidi"/>
      <w:color w:val="000000" w:themeColor="text1"/>
      <w:sz w:val="22"/>
      <w:szCs w:val="22"/>
    </w:rPr>
  </w:style>
  <w:style w:type="paragraph" w:styleId="TOC2">
    <w:name w:val="toc 2"/>
    <w:basedOn w:val="Normal"/>
    <w:next w:val="Normal"/>
    <w:autoRedefine/>
    <w:uiPriority w:val="39"/>
    <w:rsid w:val="00CA4DC0"/>
    <w:pPr>
      <w:tabs>
        <w:tab w:val="right" w:leader="dot" w:pos="7938"/>
      </w:tabs>
      <w:spacing w:before="120" w:after="100" w:line="280" w:lineRule="exact"/>
      <w:ind w:left="220"/>
      <w:jc w:val="left"/>
    </w:pPr>
    <w:rPr>
      <w:rFonts w:asciiTheme="minorHAnsi" w:eastAsiaTheme="minorHAnsi" w:hAnsiTheme="minorHAnsi" w:cstheme="minorBidi"/>
      <w:color w:val="000000" w:themeColor="text1"/>
      <w:sz w:val="22"/>
      <w:szCs w:val="22"/>
    </w:rPr>
  </w:style>
  <w:style w:type="paragraph" w:styleId="TOC3">
    <w:name w:val="toc 3"/>
    <w:basedOn w:val="Normal"/>
    <w:next w:val="Normal"/>
    <w:autoRedefine/>
    <w:uiPriority w:val="39"/>
    <w:rsid w:val="00071EF6"/>
    <w:pPr>
      <w:spacing w:before="120" w:after="100" w:line="280" w:lineRule="exact"/>
      <w:ind w:left="440"/>
      <w:jc w:val="left"/>
    </w:pPr>
    <w:rPr>
      <w:rFonts w:asciiTheme="minorHAnsi" w:eastAsiaTheme="minorHAnsi" w:hAnsiTheme="minorHAnsi" w:cstheme="minorBidi"/>
      <w:color w:val="000000" w:themeColor="text1"/>
      <w:sz w:val="22"/>
      <w:szCs w:val="22"/>
    </w:rPr>
  </w:style>
  <w:style w:type="paragraph" w:styleId="ListBullet">
    <w:name w:val="List Bullet"/>
    <w:basedOn w:val="Normal"/>
    <w:uiPriority w:val="99"/>
    <w:semiHidden/>
    <w:unhideWhenUsed/>
    <w:rsid w:val="00071EF6"/>
    <w:pPr>
      <w:ind w:left="590" w:hanging="363"/>
      <w:contextualSpacing/>
    </w:pPr>
  </w:style>
  <w:style w:type="character" w:customStyle="1" w:styleId="Heading2Char">
    <w:name w:val="Heading 2 Char"/>
    <w:basedOn w:val="DefaultParagraphFont"/>
    <w:link w:val="Heading2"/>
    <w:uiPriority w:val="9"/>
    <w:semiHidden/>
    <w:rsid w:val="009565CF"/>
    <w:rPr>
      <w:rFonts w:asciiTheme="majorHAnsi" w:eastAsiaTheme="majorEastAsia" w:hAnsiTheme="majorHAnsi" w:cstheme="majorBidi"/>
      <w:color w:val="365F91" w:themeColor="accent1" w:themeShade="BF"/>
      <w:sz w:val="26"/>
      <w:szCs w:val="26"/>
      <w:lang w:val="en-AU"/>
    </w:rPr>
  </w:style>
  <w:style w:type="character" w:customStyle="1" w:styleId="Heading3Char">
    <w:name w:val="Heading 3 Char"/>
    <w:basedOn w:val="DefaultParagraphFont"/>
    <w:link w:val="Heading3"/>
    <w:uiPriority w:val="9"/>
    <w:semiHidden/>
    <w:rsid w:val="009565CF"/>
    <w:rPr>
      <w:rFonts w:asciiTheme="majorHAnsi" w:eastAsiaTheme="majorEastAsia" w:hAnsiTheme="majorHAnsi" w:cstheme="majorBidi"/>
      <w:color w:val="243F60" w:themeColor="accent1" w:themeShade="7F"/>
      <w:sz w:val="24"/>
      <w:szCs w:val="24"/>
      <w:lang w:val="en-AU"/>
    </w:rPr>
  </w:style>
  <w:style w:type="paragraph" w:styleId="Subtitle">
    <w:name w:val="Subtitle"/>
    <w:aliases w:val="Full title"/>
    <w:basedOn w:val="Normal"/>
    <w:next w:val="BodyText"/>
    <w:link w:val="SubtitleChar"/>
    <w:uiPriority w:val="11"/>
    <w:qFormat/>
    <w:rsid w:val="001A0CD9"/>
    <w:pPr>
      <w:numPr>
        <w:ilvl w:val="1"/>
      </w:numPr>
      <w:suppressAutoHyphens/>
      <w:spacing w:before="120" w:after="200" w:line="280" w:lineRule="exact"/>
      <w:jc w:val="left"/>
    </w:pPr>
    <w:rPr>
      <w:rFonts w:asciiTheme="minorHAnsi" w:eastAsiaTheme="minorEastAsia" w:hAnsiTheme="minorHAnsi" w:cstheme="minorBidi"/>
      <w:color w:val="000000" w:themeColor="text1"/>
      <w:szCs w:val="22"/>
    </w:rPr>
  </w:style>
  <w:style w:type="character" w:customStyle="1" w:styleId="SubtitleChar">
    <w:name w:val="Subtitle Char"/>
    <w:aliases w:val="Full title Char"/>
    <w:basedOn w:val="DefaultParagraphFont"/>
    <w:link w:val="Subtitle"/>
    <w:uiPriority w:val="11"/>
    <w:rsid w:val="001A0CD9"/>
    <w:rPr>
      <w:rFonts w:asciiTheme="minorHAnsi" w:eastAsiaTheme="minorEastAsia" w:hAnsiTheme="minorHAnsi" w:cstheme="minorBidi"/>
      <w:color w:val="000000" w:themeColor="text1"/>
      <w:sz w:val="24"/>
      <w:szCs w:val="22"/>
      <w:lang w:val="en-AU"/>
    </w:rPr>
  </w:style>
  <w:style w:type="paragraph" w:styleId="BodyText">
    <w:name w:val="Body Text"/>
    <w:basedOn w:val="Normal"/>
    <w:link w:val="BodyTextChar"/>
    <w:uiPriority w:val="99"/>
    <w:semiHidden/>
    <w:unhideWhenUsed/>
    <w:rsid w:val="001A0CD9"/>
  </w:style>
  <w:style w:type="character" w:customStyle="1" w:styleId="BodyTextChar">
    <w:name w:val="Body Text Char"/>
    <w:basedOn w:val="DefaultParagraphFont"/>
    <w:link w:val="BodyText"/>
    <w:uiPriority w:val="99"/>
    <w:semiHidden/>
    <w:rsid w:val="001A0CD9"/>
    <w:rPr>
      <w:rFonts w:ascii="Gill Sans MT" w:hAnsi="Gill Sans MT"/>
      <w:color w:val="242424"/>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340786">
      <w:bodyDiv w:val="1"/>
      <w:marLeft w:val="0"/>
      <w:marRight w:val="0"/>
      <w:marTop w:val="0"/>
      <w:marBottom w:val="0"/>
      <w:divBdr>
        <w:top w:val="none" w:sz="0" w:space="0" w:color="auto"/>
        <w:left w:val="none" w:sz="0" w:space="0" w:color="auto"/>
        <w:bottom w:val="none" w:sz="0" w:space="0" w:color="auto"/>
        <w:right w:val="none" w:sz="0" w:space="0" w:color="auto"/>
      </w:divBdr>
    </w:div>
    <w:div w:id="564218989">
      <w:bodyDiv w:val="1"/>
      <w:marLeft w:val="0"/>
      <w:marRight w:val="0"/>
      <w:marTop w:val="0"/>
      <w:marBottom w:val="0"/>
      <w:divBdr>
        <w:top w:val="none" w:sz="0" w:space="0" w:color="auto"/>
        <w:left w:val="none" w:sz="0" w:space="0" w:color="auto"/>
        <w:bottom w:val="none" w:sz="0" w:space="0" w:color="auto"/>
        <w:right w:val="none" w:sz="0" w:space="0" w:color="auto"/>
      </w:divBdr>
    </w:div>
    <w:div w:id="844636636">
      <w:bodyDiv w:val="1"/>
      <w:marLeft w:val="0"/>
      <w:marRight w:val="0"/>
      <w:marTop w:val="0"/>
      <w:marBottom w:val="0"/>
      <w:divBdr>
        <w:top w:val="none" w:sz="0" w:space="0" w:color="auto"/>
        <w:left w:val="none" w:sz="0" w:space="0" w:color="auto"/>
        <w:bottom w:val="none" w:sz="0" w:space="0" w:color="auto"/>
        <w:right w:val="none" w:sz="0" w:space="0" w:color="auto"/>
      </w:divBdr>
    </w:div>
    <w:div w:id="1084260095">
      <w:bodyDiv w:val="1"/>
      <w:marLeft w:val="0"/>
      <w:marRight w:val="0"/>
      <w:marTop w:val="0"/>
      <w:marBottom w:val="0"/>
      <w:divBdr>
        <w:top w:val="none" w:sz="0" w:space="0" w:color="auto"/>
        <w:left w:val="none" w:sz="0" w:space="0" w:color="auto"/>
        <w:bottom w:val="none" w:sz="0" w:space="0" w:color="auto"/>
        <w:right w:val="none" w:sz="0" w:space="0" w:color="auto"/>
      </w:divBdr>
    </w:div>
    <w:div w:id="1113553777">
      <w:bodyDiv w:val="1"/>
      <w:marLeft w:val="0"/>
      <w:marRight w:val="0"/>
      <w:marTop w:val="0"/>
      <w:marBottom w:val="0"/>
      <w:divBdr>
        <w:top w:val="none" w:sz="0" w:space="0" w:color="auto"/>
        <w:left w:val="none" w:sz="0" w:space="0" w:color="auto"/>
        <w:bottom w:val="none" w:sz="0" w:space="0" w:color="auto"/>
        <w:right w:val="none" w:sz="0" w:space="0" w:color="auto"/>
      </w:divBdr>
    </w:div>
    <w:div w:id="1412854464">
      <w:bodyDiv w:val="1"/>
      <w:marLeft w:val="0"/>
      <w:marRight w:val="0"/>
      <w:marTop w:val="0"/>
      <w:marBottom w:val="0"/>
      <w:divBdr>
        <w:top w:val="none" w:sz="0" w:space="0" w:color="auto"/>
        <w:left w:val="none" w:sz="0" w:space="0" w:color="auto"/>
        <w:bottom w:val="none" w:sz="0" w:space="0" w:color="auto"/>
        <w:right w:val="none" w:sz="0" w:space="0" w:color="auto"/>
      </w:divBdr>
    </w:div>
    <w:div w:id="1431897028">
      <w:bodyDiv w:val="1"/>
      <w:marLeft w:val="0"/>
      <w:marRight w:val="0"/>
      <w:marTop w:val="0"/>
      <w:marBottom w:val="0"/>
      <w:divBdr>
        <w:top w:val="none" w:sz="0" w:space="0" w:color="auto"/>
        <w:left w:val="none" w:sz="0" w:space="0" w:color="auto"/>
        <w:bottom w:val="none" w:sz="0" w:space="0" w:color="auto"/>
        <w:right w:val="none" w:sz="0" w:space="0" w:color="auto"/>
      </w:divBdr>
    </w:div>
    <w:div w:id="1498419549">
      <w:bodyDiv w:val="1"/>
      <w:marLeft w:val="0"/>
      <w:marRight w:val="0"/>
      <w:marTop w:val="0"/>
      <w:marBottom w:val="0"/>
      <w:divBdr>
        <w:top w:val="none" w:sz="0" w:space="0" w:color="auto"/>
        <w:left w:val="none" w:sz="0" w:space="0" w:color="auto"/>
        <w:bottom w:val="none" w:sz="0" w:space="0" w:color="auto"/>
        <w:right w:val="none" w:sz="0" w:space="0" w:color="auto"/>
      </w:divBdr>
    </w:div>
    <w:div w:id="198948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km\AppData\Roaming\Microsoft\Templates\TRIM\TEMPLATES%20-%20Communications\EXTERNAL%20Report%20style%201%20colour%20strap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9866D-F47B-4430-BD1B-C0107CC3E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Report style 1 colour strapline</Template>
  <TotalTime>0</TotalTime>
  <Pages>7</Pages>
  <Words>1339</Words>
  <Characters>7638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Title of document</vt:lpstr>
    </vt:vector>
  </TitlesOfParts>
  <Company>Department of Treasury and Finance</Company>
  <LinksUpToDate>false</LinksUpToDate>
  <CharactersWithSpaces>8960</CharactersWithSpaces>
  <SharedDoc>false</SharedDoc>
  <HLinks>
    <vt:vector size="36" baseType="variant">
      <vt:variant>
        <vt:i4>1966135</vt:i4>
      </vt:variant>
      <vt:variant>
        <vt:i4>32</vt:i4>
      </vt:variant>
      <vt:variant>
        <vt:i4>0</vt:i4>
      </vt:variant>
      <vt:variant>
        <vt:i4>5</vt:i4>
      </vt:variant>
      <vt:variant>
        <vt:lpwstr/>
      </vt:variant>
      <vt:variant>
        <vt:lpwstr>_Toc187035243</vt:lpwstr>
      </vt:variant>
      <vt:variant>
        <vt:i4>1966135</vt:i4>
      </vt:variant>
      <vt:variant>
        <vt:i4>26</vt:i4>
      </vt:variant>
      <vt:variant>
        <vt:i4>0</vt:i4>
      </vt:variant>
      <vt:variant>
        <vt:i4>5</vt:i4>
      </vt:variant>
      <vt:variant>
        <vt:lpwstr/>
      </vt:variant>
      <vt:variant>
        <vt:lpwstr>_Toc187035242</vt:lpwstr>
      </vt:variant>
      <vt:variant>
        <vt:i4>1966135</vt:i4>
      </vt:variant>
      <vt:variant>
        <vt:i4>20</vt:i4>
      </vt:variant>
      <vt:variant>
        <vt:i4>0</vt:i4>
      </vt:variant>
      <vt:variant>
        <vt:i4>5</vt:i4>
      </vt:variant>
      <vt:variant>
        <vt:lpwstr/>
      </vt:variant>
      <vt:variant>
        <vt:lpwstr>_Toc187035241</vt:lpwstr>
      </vt:variant>
      <vt:variant>
        <vt:i4>1966135</vt:i4>
      </vt:variant>
      <vt:variant>
        <vt:i4>14</vt:i4>
      </vt:variant>
      <vt:variant>
        <vt:i4>0</vt:i4>
      </vt:variant>
      <vt:variant>
        <vt:i4>5</vt:i4>
      </vt:variant>
      <vt:variant>
        <vt:lpwstr/>
      </vt:variant>
      <vt:variant>
        <vt:lpwstr>_Toc187035240</vt:lpwstr>
      </vt:variant>
      <vt:variant>
        <vt:i4>1638455</vt:i4>
      </vt:variant>
      <vt:variant>
        <vt:i4>8</vt:i4>
      </vt:variant>
      <vt:variant>
        <vt:i4>0</vt:i4>
      </vt:variant>
      <vt:variant>
        <vt:i4>5</vt:i4>
      </vt:variant>
      <vt:variant>
        <vt:lpwstr/>
      </vt:variant>
      <vt:variant>
        <vt:lpwstr>_Toc187035239</vt:lpwstr>
      </vt:variant>
      <vt:variant>
        <vt:i4>1638455</vt:i4>
      </vt:variant>
      <vt:variant>
        <vt:i4>2</vt:i4>
      </vt:variant>
      <vt:variant>
        <vt:i4>0</vt:i4>
      </vt:variant>
      <vt:variant>
        <vt:i4>5</vt:i4>
      </vt:variant>
      <vt:variant>
        <vt:lpwstr/>
      </vt:variant>
      <vt:variant>
        <vt:lpwstr>_Toc187035238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creator>Merse, Nick</dc:creator>
  <cp:lastModifiedBy>Botterill-James, Melanie</cp:lastModifiedBy>
  <cp:revision>2</cp:revision>
  <cp:lastPrinted>2019-12-05T23:20:00Z</cp:lastPrinted>
  <dcterms:created xsi:type="dcterms:W3CDTF">2021-11-01T05:29:00Z</dcterms:created>
  <dcterms:modified xsi:type="dcterms:W3CDTF">2021-11-01T05:29:00Z</dcterms:modified>
</cp:coreProperties>
</file>